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4F4E97" w:rsidRDefault="00E13E6B" w:rsidP="00531D1E">
      <w:pPr>
        <w:ind w:left="2835" w:right="1843" w:hanging="992"/>
        <w:jc w:val="both"/>
        <w:rPr>
          <w:rFonts w:ascii="Tahoma" w:hAnsi="Tahoma" w:cs="Tahoma"/>
          <w:i/>
          <w:sz w:val="16"/>
          <w:szCs w:val="16"/>
        </w:rPr>
      </w:pPr>
      <w:r w:rsidRPr="004F4E97">
        <w:rPr>
          <w:rFonts w:ascii="Tahoma" w:hAnsi="Tahoma" w:cs="Tahoma"/>
          <w:b/>
          <w:i/>
          <w:sz w:val="16"/>
          <w:szCs w:val="16"/>
        </w:rPr>
        <w:t xml:space="preserve">Sumilla: </w:t>
      </w:r>
      <w:r w:rsidR="005E6E6D" w:rsidRPr="004F4E97">
        <w:rPr>
          <w:rFonts w:ascii="Tahoma" w:hAnsi="Tahoma" w:cs="Tahoma"/>
          <w:b/>
          <w:i/>
          <w:sz w:val="16"/>
          <w:szCs w:val="16"/>
        </w:rPr>
        <w:t xml:space="preserve">   </w:t>
      </w:r>
      <w:r w:rsidR="00076C20" w:rsidRPr="004F4E97">
        <w:rPr>
          <w:rFonts w:ascii="Tahoma" w:hAnsi="Tahoma" w:cs="Tahoma"/>
          <w:b/>
          <w:i/>
          <w:sz w:val="16"/>
          <w:szCs w:val="16"/>
        </w:rPr>
        <w:t xml:space="preserve">  </w:t>
      </w:r>
      <w:r w:rsidR="00635F2E" w:rsidRPr="004F4E97">
        <w:rPr>
          <w:rFonts w:ascii="Tahoma" w:hAnsi="Tahoma" w:cs="Tahoma"/>
          <w:b/>
          <w:i/>
          <w:sz w:val="16"/>
          <w:szCs w:val="16"/>
        </w:rPr>
        <w:t>“</w:t>
      </w:r>
      <w:r w:rsidR="00FF6B17" w:rsidRPr="004F4E97">
        <w:rPr>
          <w:rFonts w:ascii="Tahoma" w:hAnsi="Tahoma" w:cs="Tahoma"/>
          <w:i/>
          <w:sz w:val="16"/>
          <w:szCs w:val="16"/>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w:t>
      </w:r>
      <w:r w:rsidR="009B3C77" w:rsidRPr="004F4E97">
        <w:rPr>
          <w:rFonts w:ascii="Tahoma" w:hAnsi="Tahoma" w:cs="Tahoma"/>
          <w:i/>
          <w:sz w:val="16"/>
          <w:szCs w:val="16"/>
        </w:rPr>
        <w:t>ausal atribuible al Contratista</w:t>
      </w:r>
      <w:r w:rsidR="00635F2E" w:rsidRPr="004F4E97">
        <w:rPr>
          <w:rFonts w:ascii="Tahoma" w:hAnsi="Tahoma" w:cs="Tahoma"/>
          <w:i/>
          <w:sz w:val="16"/>
          <w:szCs w:val="16"/>
        </w:rPr>
        <w:t>”.</w:t>
      </w:r>
    </w:p>
    <w:p w:rsidR="00E13E6B" w:rsidRPr="004F4E97" w:rsidRDefault="00E13E6B" w:rsidP="00E13E6B">
      <w:pPr>
        <w:ind w:left="2268" w:right="1843"/>
        <w:jc w:val="both"/>
        <w:rPr>
          <w:rFonts w:ascii="Tahoma" w:hAnsi="Tahoma" w:cs="Tahoma"/>
          <w:b/>
          <w:i/>
          <w:sz w:val="20"/>
          <w:szCs w:val="20"/>
          <w:highlight w:val="yellow"/>
        </w:rPr>
      </w:pPr>
    </w:p>
    <w:p w:rsidR="00E13E6B" w:rsidRPr="004F4E97" w:rsidRDefault="00E13E6B" w:rsidP="00E13E6B">
      <w:pPr>
        <w:pStyle w:val="Textoindependiente3"/>
        <w:ind w:left="4956" w:firstLine="708"/>
        <w:jc w:val="both"/>
        <w:rPr>
          <w:rFonts w:ascii="Tahoma" w:hAnsi="Tahoma" w:cs="Tahoma"/>
        </w:rPr>
      </w:pPr>
      <w:r w:rsidRPr="004F4E97">
        <w:rPr>
          <w:rFonts w:ascii="Tahoma" w:hAnsi="Tahoma" w:cs="Tahoma"/>
        </w:rPr>
        <w:t xml:space="preserve">Lima, </w:t>
      </w:r>
      <w:r w:rsidR="00603D83">
        <w:rPr>
          <w:rFonts w:ascii="Tahoma" w:hAnsi="Tahoma" w:cs="Tahoma"/>
        </w:rPr>
        <w:t>25 de Julio de 2011</w:t>
      </w:r>
    </w:p>
    <w:p w:rsidR="00E13E6B" w:rsidRPr="004F4E97" w:rsidRDefault="00E13E6B" w:rsidP="00E13E6B">
      <w:pPr>
        <w:pStyle w:val="Textoindependiente3"/>
        <w:jc w:val="both"/>
        <w:rPr>
          <w:rFonts w:ascii="Tahoma" w:hAnsi="Tahoma" w:cs="Tahoma"/>
          <w:b w:val="0"/>
          <w:lang w:val="es-ES"/>
        </w:rPr>
      </w:pPr>
    </w:p>
    <w:p w:rsidR="00E13E6B" w:rsidRPr="004F4E97" w:rsidRDefault="00E13E6B" w:rsidP="00E13E6B">
      <w:pPr>
        <w:ind w:firstLine="708"/>
        <w:jc w:val="both"/>
        <w:rPr>
          <w:rFonts w:ascii="Tahoma" w:hAnsi="Tahoma" w:cs="Tahoma"/>
          <w:sz w:val="20"/>
          <w:szCs w:val="20"/>
        </w:rPr>
      </w:pPr>
      <w:r w:rsidRPr="004F4E97">
        <w:rPr>
          <w:rFonts w:ascii="Tahoma" w:hAnsi="Tahoma" w:cs="Tahoma"/>
          <w:b/>
          <w:sz w:val="20"/>
          <w:szCs w:val="20"/>
        </w:rPr>
        <w:t>VISTO,</w:t>
      </w:r>
      <w:r w:rsidRPr="004F4E97">
        <w:rPr>
          <w:rFonts w:ascii="Tahoma" w:hAnsi="Tahoma" w:cs="Tahoma"/>
          <w:sz w:val="20"/>
          <w:szCs w:val="20"/>
        </w:rPr>
        <w:t xml:space="preserve"> en sesión de fecha </w:t>
      </w:r>
      <w:r w:rsidR="004F4E97">
        <w:rPr>
          <w:rFonts w:ascii="Tahoma" w:hAnsi="Tahoma" w:cs="Tahoma"/>
          <w:sz w:val="20"/>
          <w:szCs w:val="20"/>
        </w:rPr>
        <w:t>25</w:t>
      </w:r>
      <w:r w:rsidR="00050A76" w:rsidRPr="004F4E97">
        <w:rPr>
          <w:rFonts w:ascii="Tahoma" w:hAnsi="Tahoma" w:cs="Tahoma"/>
          <w:sz w:val="20"/>
          <w:szCs w:val="20"/>
        </w:rPr>
        <w:t xml:space="preserve"> de julio</w:t>
      </w:r>
      <w:r w:rsidR="00D43251" w:rsidRPr="004F4E97">
        <w:rPr>
          <w:rFonts w:ascii="Tahoma" w:hAnsi="Tahoma" w:cs="Tahoma"/>
          <w:sz w:val="20"/>
          <w:szCs w:val="20"/>
        </w:rPr>
        <w:t xml:space="preserve"> </w:t>
      </w:r>
      <w:r w:rsidR="00531D1E" w:rsidRPr="004F4E97">
        <w:rPr>
          <w:rFonts w:ascii="Tahoma" w:hAnsi="Tahoma" w:cs="Tahoma"/>
          <w:sz w:val="20"/>
          <w:szCs w:val="20"/>
        </w:rPr>
        <w:t>de 2011</w:t>
      </w:r>
      <w:r w:rsidRPr="004F4E97">
        <w:rPr>
          <w:rFonts w:ascii="Tahoma" w:hAnsi="Tahoma" w:cs="Tahoma"/>
          <w:sz w:val="20"/>
          <w:szCs w:val="20"/>
        </w:rPr>
        <w:t xml:space="preserve"> de la </w:t>
      </w:r>
      <w:r w:rsidR="001776B6" w:rsidRPr="004F4E97">
        <w:rPr>
          <w:rFonts w:ascii="Tahoma" w:hAnsi="Tahoma" w:cs="Tahoma"/>
          <w:sz w:val="20"/>
          <w:szCs w:val="20"/>
        </w:rPr>
        <w:t>Primera</w:t>
      </w:r>
      <w:r w:rsidRPr="004F4E97">
        <w:rPr>
          <w:rFonts w:ascii="Tahoma" w:hAnsi="Tahoma" w:cs="Tahoma"/>
          <w:sz w:val="20"/>
          <w:szCs w:val="20"/>
        </w:rPr>
        <w:t xml:space="preserve"> Sala del Tribunal de Contrataciones del Estado el Expediente № </w:t>
      </w:r>
      <w:r w:rsidR="004F4E97">
        <w:rPr>
          <w:rFonts w:ascii="Tahoma" w:hAnsi="Tahoma" w:cs="Tahoma"/>
          <w:sz w:val="20"/>
          <w:szCs w:val="20"/>
        </w:rPr>
        <w:t>1113</w:t>
      </w:r>
      <w:r w:rsidR="00531D1E" w:rsidRPr="004F4E97">
        <w:rPr>
          <w:rFonts w:ascii="Tahoma" w:hAnsi="Tahoma" w:cs="Tahoma"/>
          <w:sz w:val="20"/>
          <w:szCs w:val="20"/>
        </w:rPr>
        <w:t>/20</w:t>
      </w:r>
      <w:r w:rsidR="00222218" w:rsidRPr="004F4E97">
        <w:rPr>
          <w:rFonts w:ascii="Tahoma" w:hAnsi="Tahoma" w:cs="Tahoma"/>
          <w:sz w:val="20"/>
          <w:szCs w:val="20"/>
        </w:rPr>
        <w:t>1</w:t>
      </w:r>
      <w:r w:rsidR="00D66D64" w:rsidRPr="004F4E97">
        <w:rPr>
          <w:rFonts w:ascii="Tahoma" w:hAnsi="Tahoma" w:cs="Tahoma"/>
          <w:sz w:val="20"/>
          <w:szCs w:val="20"/>
        </w:rPr>
        <w:t>0</w:t>
      </w:r>
      <w:r w:rsidRPr="004F4E97">
        <w:rPr>
          <w:rFonts w:ascii="Tahoma" w:hAnsi="Tahoma" w:cs="Tahoma"/>
          <w:sz w:val="20"/>
          <w:szCs w:val="20"/>
        </w:rPr>
        <w:t>.TC, sobre procedimiento administrativo sancionador contra</w:t>
      </w:r>
      <w:r w:rsidR="00140241" w:rsidRPr="004F4E97">
        <w:rPr>
          <w:rFonts w:ascii="Tahoma" w:hAnsi="Tahoma" w:cs="Tahoma"/>
          <w:sz w:val="20"/>
          <w:szCs w:val="20"/>
        </w:rPr>
        <w:t xml:space="preserve"> </w:t>
      </w:r>
      <w:r w:rsidR="004F4E97">
        <w:rPr>
          <w:rFonts w:ascii="Tahoma" w:hAnsi="Tahoma" w:cs="Tahoma"/>
          <w:sz w:val="20"/>
          <w:szCs w:val="20"/>
        </w:rPr>
        <w:t xml:space="preserve">el </w:t>
      </w:r>
      <w:r w:rsidR="004F4E97" w:rsidRPr="004F4E97">
        <w:rPr>
          <w:rFonts w:ascii="Tahoma" w:hAnsi="Tahoma" w:cs="Tahoma"/>
          <w:sz w:val="20"/>
          <w:szCs w:val="20"/>
        </w:rPr>
        <w:t>CONSORCIO PACIFICO DEL SUR conformado por la empresa Z.C.INGENIEROS CONSULTORES S.R.L. y el señor HERMEN MARCELO GUTIERREZ GUTIERREZ</w:t>
      </w:r>
      <w:r w:rsidR="00050A76" w:rsidRPr="004F4E97">
        <w:rPr>
          <w:rFonts w:ascii="Tahoma" w:hAnsi="Tahoma" w:cs="Tahoma"/>
          <w:sz w:val="20"/>
          <w:szCs w:val="20"/>
        </w:rPr>
        <w:t xml:space="preserve"> </w:t>
      </w:r>
      <w:r w:rsidRPr="004F4E97">
        <w:rPr>
          <w:rFonts w:ascii="Tahoma" w:hAnsi="Tahoma" w:cs="Tahoma"/>
          <w:sz w:val="20"/>
          <w:szCs w:val="20"/>
        </w:rPr>
        <w:t xml:space="preserve">por supuesta responsabilidad en la resolución </w:t>
      </w:r>
      <w:r w:rsidR="00076C20" w:rsidRPr="004F4E97">
        <w:rPr>
          <w:rFonts w:ascii="Tahoma" w:hAnsi="Tahoma" w:cs="Tahoma"/>
          <w:sz w:val="20"/>
          <w:szCs w:val="20"/>
        </w:rPr>
        <w:t>de</w:t>
      </w:r>
      <w:r w:rsidR="00D66D64" w:rsidRPr="004F4E97">
        <w:rPr>
          <w:rFonts w:ascii="Tahoma" w:hAnsi="Tahoma" w:cs="Tahoma"/>
          <w:sz w:val="20"/>
          <w:szCs w:val="20"/>
        </w:rPr>
        <w:t>l</w:t>
      </w:r>
      <w:r w:rsidR="00076C20" w:rsidRPr="004F4E97">
        <w:rPr>
          <w:rFonts w:ascii="Tahoma" w:hAnsi="Tahoma" w:cs="Tahoma"/>
          <w:sz w:val="20"/>
          <w:szCs w:val="20"/>
        </w:rPr>
        <w:t xml:space="preserve"> </w:t>
      </w:r>
      <w:r w:rsidR="00050A76" w:rsidRPr="004F4E97">
        <w:rPr>
          <w:rFonts w:ascii="Tahoma" w:hAnsi="Tahoma" w:cs="Tahoma"/>
          <w:sz w:val="20"/>
          <w:szCs w:val="20"/>
        </w:rPr>
        <w:t>Contrato</w:t>
      </w:r>
      <w:r w:rsidR="004F4E97">
        <w:rPr>
          <w:rFonts w:ascii="Tahoma" w:hAnsi="Tahoma" w:cs="Tahoma"/>
          <w:sz w:val="20"/>
          <w:szCs w:val="20"/>
        </w:rPr>
        <w:t xml:space="preserve"> de</w:t>
      </w:r>
      <w:r w:rsidR="00050A76" w:rsidRPr="004F4E97">
        <w:rPr>
          <w:rFonts w:ascii="Tahoma" w:hAnsi="Tahoma" w:cs="Tahoma"/>
          <w:sz w:val="20"/>
          <w:szCs w:val="20"/>
        </w:rPr>
        <w:t xml:space="preserve"> </w:t>
      </w:r>
      <w:r w:rsidR="004F4E97" w:rsidRPr="004F4E97">
        <w:rPr>
          <w:rFonts w:ascii="Tahoma" w:hAnsi="Tahoma" w:cs="Tahoma"/>
          <w:sz w:val="20"/>
          <w:szCs w:val="20"/>
        </w:rPr>
        <w:t>Adquisición de Bienes № 49-2009-MDI</w:t>
      </w:r>
      <w:r w:rsidR="004F4E97">
        <w:rPr>
          <w:rFonts w:ascii="Tahoma" w:hAnsi="Tahoma" w:cs="Tahoma"/>
          <w:sz w:val="20"/>
          <w:szCs w:val="20"/>
        </w:rPr>
        <w:t>,</w:t>
      </w:r>
      <w:r w:rsidR="004F4E97" w:rsidRPr="004F4E97">
        <w:rPr>
          <w:rFonts w:ascii="Tahoma" w:hAnsi="Tahoma" w:cs="Tahoma"/>
          <w:sz w:val="20"/>
          <w:szCs w:val="20"/>
        </w:rPr>
        <w:t xml:space="preserve"> </w:t>
      </w:r>
      <w:r w:rsidR="00822C2F" w:rsidRPr="004F4E97">
        <w:rPr>
          <w:rFonts w:ascii="Tahoma" w:hAnsi="Tahoma" w:cs="Tahoma"/>
          <w:sz w:val="20"/>
          <w:szCs w:val="20"/>
        </w:rPr>
        <w:t xml:space="preserve">por causa atribuible a </w:t>
      </w:r>
      <w:r w:rsidR="00050A76" w:rsidRPr="004F4E97">
        <w:rPr>
          <w:rFonts w:ascii="Tahoma" w:hAnsi="Tahoma" w:cs="Tahoma"/>
          <w:sz w:val="20"/>
          <w:szCs w:val="20"/>
        </w:rPr>
        <w:t>ell</w:t>
      </w:r>
      <w:r w:rsidR="004F4E97">
        <w:rPr>
          <w:rFonts w:ascii="Tahoma" w:hAnsi="Tahoma" w:cs="Tahoma"/>
          <w:sz w:val="20"/>
          <w:szCs w:val="20"/>
        </w:rPr>
        <w:t xml:space="preserve">os, derivado de </w:t>
      </w:r>
      <w:r w:rsidR="004F4E97" w:rsidRPr="004F4E97">
        <w:rPr>
          <w:rFonts w:ascii="Tahoma" w:hAnsi="Tahoma" w:cs="Tahoma"/>
          <w:sz w:val="20"/>
          <w:szCs w:val="20"/>
        </w:rPr>
        <w:t>la Licitación Pública № 006-2009-CE/MDI</w:t>
      </w:r>
      <w:r w:rsidR="00050A76" w:rsidRPr="004F4E97">
        <w:rPr>
          <w:rFonts w:ascii="Tahoma" w:hAnsi="Tahoma" w:cs="Tahoma"/>
          <w:sz w:val="20"/>
          <w:szCs w:val="20"/>
        </w:rPr>
        <w:t>,</w:t>
      </w:r>
      <w:r w:rsidR="00D43251" w:rsidRPr="004F4E97">
        <w:rPr>
          <w:rFonts w:ascii="Tahoma" w:hAnsi="Tahoma" w:cs="Tahoma"/>
          <w:sz w:val="20"/>
          <w:szCs w:val="20"/>
        </w:rPr>
        <w:t xml:space="preserve"> </w:t>
      </w:r>
      <w:r w:rsidR="008422E3" w:rsidRPr="004F4E97">
        <w:rPr>
          <w:rFonts w:ascii="Tahoma" w:hAnsi="Tahoma" w:cs="Tahoma"/>
          <w:sz w:val="20"/>
          <w:szCs w:val="20"/>
        </w:rPr>
        <w:t>primera</w:t>
      </w:r>
      <w:r w:rsidR="00D43251" w:rsidRPr="004F4E97">
        <w:rPr>
          <w:rFonts w:ascii="Tahoma" w:hAnsi="Tahoma" w:cs="Tahoma"/>
          <w:sz w:val="20"/>
          <w:szCs w:val="20"/>
        </w:rPr>
        <w:t xml:space="preserve"> convocatoria</w:t>
      </w:r>
      <w:r w:rsidRPr="004F4E97">
        <w:rPr>
          <w:rFonts w:ascii="Tahoma" w:hAnsi="Tahoma" w:cs="Tahoma"/>
          <w:sz w:val="20"/>
          <w:szCs w:val="20"/>
        </w:rPr>
        <w:t xml:space="preserve">, </w:t>
      </w:r>
      <w:r w:rsidR="00D43251" w:rsidRPr="004F4E97">
        <w:rPr>
          <w:rFonts w:ascii="Tahoma" w:hAnsi="Tahoma" w:cs="Tahoma"/>
          <w:sz w:val="20"/>
          <w:szCs w:val="20"/>
        </w:rPr>
        <w:t xml:space="preserve">realizada por </w:t>
      </w:r>
      <w:r w:rsidR="004F4E97" w:rsidRPr="004F4E97">
        <w:rPr>
          <w:rFonts w:ascii="Tahoma" w:hAnsi="Tahoma" w:cs="Tahoma"/>
          <w:sz w:val="20"/>
          <w:szCs w:val="20"/>
        </w:rPr>
        <w:t>la Municipalidad Distrital de Ite</w:t>
      </w:r>
      <w:r w:rsidR="00797C9F" w:rsidRPr="004F4E97">
        <w:rPr>
          <w:rFonts w:ascii="Tahoma" w:hAnsi="Tahoma" w:cs="Tahoma"/>
          <w:sz w:val="20"/>
          <w:szCs w:val="20"/>
        </w:rPr>
        <w:t xml:space="preserve">, para la </w:t>
      </w:r>
      <w:r w:rsidR="004F4E97" w:rsidRPr="004F4E97">
        <w:rPr>
          <w:rFonts w:ascii="Tahoma" w:hAnsi="Tahoma" w:cs="Tahoma"/>
          <w:sz w:val="20"/>
          <w:szCs w:val="20"/>
        </w:rPr>
        <w:t>“Adquisición de Maquinaria Pesada – 01 Planta Chancadora Móvil de 40-60 TN/H” para el Proyecto: Mejoramiento de la Capacidad Operativa de la Planta de Agregados de la Entidad”</w:t>
      </w:r>
      <w:r w:rsidRPr="004F4E97">
        <w:rPr>
          <w:rFonts w:ascii="Tahoma" w:hAnsi="Tahoma" w:cs="Tahoma"/>
          <w:sz w:val="20"/>
          <w:szCs w:val="20"/>
        </w:rPr>
        <w:t xml:space="preserve">, y; atendiendo a los siguientes:  </w:t>
      </w:r>
    </w:p>
    <w:p w:rsidR="00E13E6B" w:rsidRPr="004F4E97" w:rsidRDefault="00E13E6B" w:rsidP="00E13E6B">
      <w:pPr>
        <w:ind w:right="45"/>
        <w:jc w:val="both"/>
        <w:rPr>
          <w:rFonts w:ascii="Tahoma" w:hAnsi="Tahoma" w:cs="Tahoma"/>
          <w:b/>
          <w:sz w:val="20"/>
          <w:szCs w:val="20"/>
        </w:rPr>
      </w:pPr>
    </w:p>
    <w:p w:rsidR="00E13E6B" w:rsidRPr="004F4E97" w:rsidRDefault="00E13E6B" w:rsidP="00E13E6B">
      <w:pPr>
        <w:ind w:firstLine="567"/>
        <w:jc w:val="both"/>
        <w:rPr>
          <w:rFonts w:ascii="Tahoma" w:hAnsi="Tahoma" w:cs="Tahoma"/>
          <w:b/>
          <w:sz w:val="20"/>
          <w:szCs w:val="20"/>
        </w:rPr>
      </w:pPr>
      <w:r w:rsidRPr="004F4E97">
        <w:rPr>
          <w:rFonts w:ascii="Tahoma" w:hAnsi="Tahoma" w:cs="Tahoma"/>
          <w:b/>
          <w:sz w:val="20"/>
          <w:szCs w:val="20"/>
        </w:rPr>
        <w:t>ANTECEDENTES:</w:t>
      </w:r>
    </w:p>
    <w:p w:rsidR="00E13E6B" w:rsidRPr="004F4E97" w:rsidRDefault="00E13E6B" w:rsidP="00E13E6B">
      <w:pPr>
        <w:ind w:left="426"/>
        <w:jc w:val="both"/>
        <w:rPr>
          <w:rFonts w:ascii="Tahoma" w:hAnsi="Tahoma" w:cs="Tahoma"/>
          <w:b/>
          <w:bCs/>
          <w:shadow/>
          <w:sz w:val="20"/>
          <w:szCs w:val="20"/>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sz w:val="20"/>
          <w:szCs w:val="20"/>
        </w:rPr>
        <w:t>El 14 de octubre de 2009, la Municipalidad Distrital de Ite, en adelante la Entidad, convocó la Licitación Pública № 006-2009-CE/MDI, primera convocatoria, para la “Adquisición de Maquinaria Pesada – 01 Planta Chancadora Móvil de 40-60 TN/H” para el Proyecto: Mejoramiento de la Capacidad Operativa de la Planta de Agregados de la Entidad”, bajo el sistema de suma alzada y por un valor referencial ascendente a S/. 1 863,657.51 (Un Millón ochocientos sesenta y tres mil seiscientos cincuenta y siete con 51/100 nuevos soles), incluido el Impuesto General a las Ventas (I.G.V.).</w:t>
      </w:r>
    </w:p>
    <w:p w:rsidR="004F4E97" w:rsidRPr="004F4E97" w:rsidRDefault="004F4E97" w:rsidP="004F4E97">
      <w:pPr>
        <w:ind w:left="540"/>
        <w:jc w:val="both"/>
        <w:rPr>
          <w:rFonts w:ascii="Tahoma" w:hAnsi="Tahoma" w:cs="Tahoma"/>
          <w:sz w:val="20"/>
          <w:szCs w:val="20"/>
          <w:lang w:val="es-PE"/>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sz w:val="20"/>
          <w:szCs w:val="20"/>
        </w:rPr>
        <w:t>Como resultado del proceso de selección, el 17 de noviembre de 2009, el Comité Especial otorgó la Buena Pro al CONSORCIO PACIFICO DEL SUR conformado por la empresa Z.C.INGENIEROS CONSULTORES S.R.L. y el señor HERMEN MARCELO GUTIERREZ GUTIERREZ, por su oferta económica ascendente a S/. 1 449 350.00.</w:t>
      </w:r>
    </w:p>
    <w:p w:rsidR="004F4E97" w:rsidRPr="004F4E97" w:rsidRDefault="004F4E97" w:rsidP="004F4E97">
      <w:pPr>
        <w:pStyle w:val="Prrafodelista"/>
        <w:rPr>
          <w:rFonts w:ascii="Tahoma" w:hAnsi="Tahoma" w:cs="Tahoma"/>
          <w:lang w:val="es-PE"/>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sz w:val="20"/>
          <w:szCs w:val="20"/>
        </w:rPr>
        <w:t>El 21 de diciembre de 2009, la Entidad y el CONSORCIO PACIFICO DEL SUR conformado por la empresa Z.C.INGENIEROS CONSULTORES S.R.L. y el señor HERMEN MARCELO GUTIERREZ GUTIERREZ</w:t>
      </w:r>
      <w:r w:rsidRPr="004F4E97">
        <w:rPr>
          <w:rFonts w:ascii="Tahoma" w:hAnsi="Tahoma" w:cs="Tahoma"/>
          <w:sz w:val="20"/>
          <w:szCs w:val="20"/>
          <w:lang w:val="es-PE"/>
        </w:rPr>
        <w:t>, en lo sucesivo el Consorcio, suscribieron el Contrato de Adquisición de Bienes № 49-2009-MDI, para la adquisición de  maquinaria pesada – 01 planta chancadora móvil de 40-60 TN/H”</w:t>
      </w:r>
      <w:r w:rsidRPr="004F4E97">
        <w:rPr>
          <w:rFonts w:ascii="Tahoma" w:hAnsi="Tahoma" w:cs="Tahoma"/>
          <w:sz w:val="20"/>
          <w:szCs w:val="20"/>
        </w:rPr>
        <w:t>, por el monto de S/. 1 449 350.00</w:t>
      </w:r>
      <w:r w:rsidRPr="004F4E97">
        <w:rPr>
          <w:rFonts w:ascii="Tahoma" w:hAnsi="Tahoma" w:cs="Tahoma"/>
          <w:bCs/>
          <w:sz w:val="20"/>
          <w:szCs w:val="20"/>
        </w:rPr>
        <w:t>, y con un plazo de ejecución contractual que a tenor de la Cláusula Quinta era de noventa (90) días calendarios contados a partir del día siguiente de la suscripción del mencionado contrato.</w:t>
      </w:r>
    </w:p>
    <w:p w:rsidR="004F4E97" w:rsidRPr="004F4E97" w:rsidRDefault="004F4E97" w:rsidP="004F4E97">
      <w:pPr>
        <w:pStyle w:val="Prrafodelista"/>
        <w:rPr>
          <w:rFonts w:ascii="Tahoma" w:hAnsi="Tahoma" w:cs="Tahoma"/>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sz w:val="20"/>
          <w:szCs w:val="20"/>
        </w:rPr>
        <w:t xml:space="preserve">Mediante Carta presentada el 19 de marzo de 2010, el Consorcio solicitó a la Entidad que le otorgase una ampliación de plazo hasta el 19 de abril del mismo año, y de manera posterior, a través de la Carta № 003-2010/CPS, el Consorcio solicitó otra ampliación de plazo hasta el 27 de abril de 2010, toda vez que –según afirmó– en la etapa de construcción y pruebas del bien adjudicado se habían implementado mejoras técnicas, </w:t>
      </w:r>
      <w:r w:rsidRPr="004F4E97">
        <w:rPr>
          <w:rFonts w:ascii="Tahoma" w:hAnsi="Tahoma" w:cs="Tahoma"/>
          <w:sz w:val="20"/>
          <w:szCs w:val="20"/>
        </w:rPr>
        <w:lastRenderedPageBreak/>
        <w:t>hecho que había ocasionado el retraso del plazo inicialmente estipulado en el contrato suscrito.</w:t>
      </w:r>
    </w:p>
    <w:p w:rsidR="004F4E97" w:rsidRPr="004F4E97" w:rsidRDefault="004F4E97" w:rsidP="004F4E97">
      <w:pPr>
        <w:pStyle w:val="Prrafodelista"/>
        <w:rPr>
          <w:rFonts w:ascii="Tahoma" w:hAnsi="Tahoma" w:cs="Tahoma"/>
          <w:lang w:val="es-PE"/>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sz w:val="20"/>
          <w:szCs w:val="20"/>
        </w:rPr>
        <w:t xml:space="preserve">Mediante Carta Notarial de fecha 06 de abril de 2010, diligenciada el 07 del mismo mes y año, la Entidad otorgó al Contratista el plazo de un (1) día calendario para que cumpla con internar el bien objeto del </w:t>
      </w:r>
      <w:r w:rsidRPr="004F4E97">
        <w:rPr>
          <w:rFonts w:ascii="Tahoma" w:hAnsi="Tahoma" w:cs="Tahoma"/>
          <w:sz w:val="20"/>
          <w:szCs w:val="20"/>
          <w:lang w:val="es-PE"/>
        </w:rPr>
        <w:t>Contrato de Adquisición de Bienes № 49-2009-MDI</w:t>
      </w:r>
      <w:r w:rsidRPr="004F4E97">
        <w:rPr>
          <w:rFonts w:ascii="Tahoma" w:hAnsi="Tahoma" w:cs="Tahoma"/>
          <w:sz w:val="20"/>
          <w:szCs w:val="20"/>
        </w:rPr>
        <w:t>, bajo apercibimiento de proceder a la resolución contractual.</w:t>
      </w:r>
    </w:p>
    <w:p w:rsidR="004F4E97" w:rsidRPr="004F4E97" w:rsidRDefault="004F4E97" w:rsidP="004F4E97">
      <w:pPr>
        <w:ind w:left="540"/>
        <w:jc w:val="both"/>
        <w:rPr>
          <w:rFonts w:ascii="Tahoma" w:hAnsi="Tahoma" w:cs="Tahoma"/>
          <w:sz w:val="20"/>
          <w:szCs w:val="20"/>
          <w:lang w:val="es-PE"/>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sz w:val="20"/>
          <w:szCs w:val="20"/>
        </w:rPr>
        <w:t>Habiéndose vencido el plazo otorgado, sin que el Consorcio cumpliera con internar el bien requerido, a través de la Carta Notarial de fecha 24 de mayo de 2010, diligenciada el 25 del mismo mes y año, la Entidad comunicó al Consorcio la resolución del vinculo contractual, por causal atribuible a su parte.</w:t>
      </w:r>
    </w:p>
    <w:p w:rsidR="004F4E97" w:rsidRPr="004F4E97" w:rsidRDefault="004F4E97" w:rsidP="004F4E97">
      <w:pPr>
        <w:pStyle w:val="Prrafodelista"/>
        <w:rPr>
          <w:rFonts w:ascii="Tahoma" w:hAnsi="Tahoma" w:cs="Tahoma"/>
        </w:rPr>
      </w:pPr>
    </w:p>
    <w:p w:rsidR="004F4E97" w:rsidRDefault="004F4E97" w:rsidP="004F4E97">
      <w:pPr>
        <w:numPr>
          <w:ilvl w:val="0"/>
          <w:numId w:val="11"/>
        </w:numPr>
        <w:tabs>
          <w:tab w:val="clear" w:pos="596"/>
          <w:tab w:val="num" w:pos="540"/>
        </w:tabs>
        <w:ind w:left="540" w:hanging="540"/>
        <w:jc w:val="both"/>
        <w:rPr>
          <w:rFonts w:ascii="Tahoma" w:hAnsi="Tahoma" w:cs="Tahoma"/>
          <w:sz w:val="20"/>
          <w:szCs w:val="20"/>
        </w:rPr>
      </w:pPr>
      <w:r w:rsidRPr="004F4E97">
        <w:rPr>
          <w:rFonts w:ascii="Tahoma" w:hAnsi="Tahoma" w:cs="Tahoma"/>
          <w:sz w:val="20"/>
          <w:szCs w:val="20"/>
        </w:rPr>
        <w:t>Con Formulario de Aplicación de Sanción presentado el 23 de agosto de 2010</w:t>
      </w:r>
      <w:r w:rsidRPr="004F4E97">
        <w:rPr>
          <w:rFonts w:ascii="Tahoma" w:hAnsi="Tahoma" w:cs="Tahoma"/>
          <w:sz w:val="20"/>
          <w:szCs w:val="20"/>
          <w:lang w:val="es-PE"/>
        </w:rPr>
        <w:t xml:space="preserve">, la Entidad </w:t>
      </w:r>
      <w:r w:rsidRPr="004F4E97">
        <w:rPr>
          <w:rFonts w:ascii="Tahoma" w:hAnsi="Tahoma" w:cs="Tahoma"/>
          <w:sz w:val="20"/>
          <w:szCs w:val="20"/>
        </w:rPr>
        <w:t>puso en conocimiento del Tribunal de Contrataciones del Estado, en lo sucesivo el Tribunal, la supuesta responsabilidad del Consorcio por la resolución del Contrato de Adquisición de Bienes № 49-2009-MDI. Para tal efecto, remitió el Informe № 184-2010-AZV-GAF/MDI de fecha 22 de junio de 2010, en el cual expuso los hechos antes mencionados.</w:t>
      </w:r>
    </w:p>
    <w:p w:rsidR="004F4E97" w:rsidRDefault="004F4E97" w:rsidP="004F4E97">
      <w:pPr>
        <w:pStyle w:val="Prrafodelista"/>
        <w:rPr>
          <w:rFonts w:ascii="Tahoma" w:hAnsi="Tahoma" w:cs="Tahoma"/>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rPr>
      </w:pPr>
      <w:r w:rsidRPr="004F4E97">
        <w:rPr>
          <w:rFonts w:ascii="Tahoma" w:hAnsi="Tahoma" w:cs="Tahoma"/>
          <w:sz w:val="20"/>
          <w:szCs w:val="20"/>
        </w:rPr>
        <w:t>Mediante decreto de fecha 26 de agosto de 2010, notificado el 25 de noviembre del mismo año, previamente al inicio del procedimiento administrativo sancionador, el Tribunal requirió a la Entidad que señalase, si la controversia fue sometida a un mecanismo de solución de conflictos.</w:t>
      </w:r>
    </w:p>
    <w:p w:rsidR="004F4E97" w:rsidRPr="004F4E97" w:rsidRDefault="004F4E97" w:rsidP="004F4E97">
      <w:pPr>
        <w:pStyle w:val="Prrafodelista"/>
        <w:rPr>
          <w:rFonts w:ascii="Tahoma" w:hAnsi="Tahoma" w:cs="Tahoma"/>
        </w:rPr>
      </w:pPr>
    </w:p>
    <w:p w:rsidR="004F4E97" w:rsidRPr="004F4E97" w:rsidRDefault="004F4E97" w:rsidP="004F4E97">
      <w:pPr>
        <w:numPr>
          <w:ilvl w:val="0"/>
          <w:numId w:val="11"/>
        </w:numPr>
        <w:tabs>
          <w:tab w:val="clear" w:pos="596"/>
          <w:tab w:val="num" w:pos="540"/>
        </w:tabs>
        <w:ind w:left="567" w:hanging="567"/>
        <w:jc w:val="both"/>
        <w:rPr>
          <w:rFonts w:ascii="Tahoma" w:hAnsi="Tahoma" w:cs="Tahoma"/>
          <w:sz w:val="20"/>
          <w:szCs w:val="20"/>
        </w:rPr>
      </w:pPr>
      <w:r w:rsidRPr="004F4E97">
        <w:rPr>
          <w:rFonts w:ascii="Tahoma" w:hAnsi="Tahoma" w:cs="Tahoma"/>
          <w:sz w:val="20"/>
          <w:szCs w:val="20"/>
        </w:rPr>
        <w:t>En atención a ello, a través de la Carta № 118-2010-GM/MDI presentada el 03 de diciembre de 2010, la Entidad indicó que a la fecha no existe proceso arbitral u otro mecanismo que se haya iniciado.</w:t>
      </w:r>
    </w:p>
    <w:p w:rsidR="004F4E97" w:rsidRPr="004F4E97" w:rsidRDefault="004F4E97" w:rsidP="004F4E97">
      <w:pPr>
        <w:ind w:left="540"/>
        <w:jc w:val="both"/>
        <w:rPr>
          <w:rFonts w:ascii="Tahoma" w:hAnsi="Tahoma" w:cs="Tahoma"/>
          <w:sz w:val="20"/>
          <w:szCs w:val="20"/>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sz w:val="20"/>
          <w:szCs w:val="20"/>
        </w:rPr>
        <w:t>Con decreto de fecha 09 de diciembre de 2010, el Tribunal inició el procedimiento administrativo sancionador contra los integrantes del Consorcio por su supuesta responsabilidad en la resolución del Contrato de Adquisición de Bienes № 49-2009-MDI de fecha 21 de diciembre de 2009, derivado de la Licitación Pública № 006-2009-CE/MDI, primera convocatoria, por causal atribuible a su parte, infracción tipificada en el literal b) del numeral 51.1 del artículo 51 de la Ley de Contrataciones del Estado. Asimismo, se les requirió para que en el plazo de diez (10) días hábiles cumplieran con presentar su escrito de descargos.</w:t>
      </w:r>
    </w:p>
    <w:p w:rsidR="004F4E97" w:rsidRPr="004F4E97" w:rsidRDefault="004F4E97" w:rsidP="004F4E97">
      <w:pPr>
        <w:pStyle w:val="Prrafodelista"/>
        <w:rPr>
          <w:rFonts w:ascii="Tahoma" w:hAnsi="Tahoma" w:cs="Tahoma"/>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sz w:val="20"/>
          <w:szCs w:val="20"/>
        </w:rPr>
        <w:t>Mediante decreto de fecha 23 de marzo de 2011, previa razón de Secretaría, se sobrecartó la Cedula de Notificación № 800/2011.TC al domicilio sitio en: Calle Bolognesi № 3, Distrito de Locumba, Provincia de Jorge Basadre Grohmann - Tacna a fin de que el señor Hermen Marcelo Gutierrez Gutierrez (integrante del Consorcio) tomase conocimiento del decreto de fecha 09 de diciembre de 2010.</w:t>
      </w:r>
    </w:p>
    <w:p w:rsidR="004F4E97" w:rsidRPr="004F4E97" w:rsidRDefault="004F4E97" w:rsidP="004F4E97">
      <w:pPr>
        <w:pStyle w:val="Prrafodelista"/>
        <w:rPr>
          <w:rFonts w:ascii="Tahoma" w:hAnsi="Tahoma" w:cs="Tahoma"/>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sz w:val="20"/>
          <w:szCs w:val="20"/>
        </w:rPr>
        <w:t>Del mismo modo, con decreto de fecha 23 de marzo de 2011, previa razón de Secretaría, se sobrecartó la Cedula de Notificación № 801/2011.TC al domicilio sitio en: Pasaje Miller № 1355, P.J. La Esperanza, Distrito de Alto Alianza – Tacna a fin de que la empresa la empresa Z.C.INGENIEROS CONSULTORES S.R.L. (integrante del Consorcio)  tomase conocimiento del decreto de fecha 09 de diciembre de 2010.</w:t>
      </w:r>
    </w:p>
    <w:p w:rsidR="004F4E97" w:rsidRPr="004F4E97" w:rsidRDefault="004F4E97" w:rsidP="004F4E97">
      <w:pPr>
        <w:pStyle w:val="Prrafodelista"/>
        <w:rPr>
          <w:rFonts w:ascii="Tahoma" w:hAnsi="Tahoma" w:cs="Tahoma"/>
          <w:bCs/>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bCs/>
          <w:sz w:val="20"/>
          <w:szCs w:val="20"/>
        </w:rPr>
        <w:t>Mediante decreto de fecha 24 de mayo de 2011, previa razón de Secretaría</w:t>
      </w:r>
      <w:r w:rsidRPr="004F4E97">
        <w:rPr>
          <w:rStyle w:val="Refdenotaalpie"/>
          <w:rFonts w:ascii="Tahoma" w:hAnsi="Tahoma" w:cs="Tahoma"/>
          <w:bCs/>
          <w:sz w:val="20"/>
          <w:szCs w:val="20"/>
        </w:rPr>
        <w:footnoteReference w:id="2"/>
      </w:r>
      <w:r w:rsidRPr="004F4E97">
        <w:rPr>
          <w:rFonts w:ascii="Tahoma" w:hAnsi="Tahoma" w:cs="Tahoma"/>
          <w:bCs/>
          <w:sz w:val="20"/>
          <w:szCs w:val="20"/>
        </w:rPr>
        <w:t>, y al ignorarse el domicilio cierto d</w:t>
      </w:r>
      <w:r w:rsidRPr="004F4E97">
        <w:rPr>
          <w:rFonts w:ascii="Tahoma" w:hAnsi="Tahoma" w:cs="Tahoma"/>
          <w:sz w:val="20"/>
          <w:szCs w:val="20"/>
        </w:rPr>
        <w:t>el señor Hermen Marcelo Gutierrez Gutierrez (integrante del Consorcio)</w:t>
      </w:r>
      <w:r w:rsidRPr="004F4E97">
        <w:rPr>
          <w:rFonts w:ascii="Tahoma" w:hAnsi="Tahoma" w:cs="Tahoma"/>
          <w:bCs/>
          <w:sz w:val="20"/>
          <w:szCs w:val="20"/>
        </w:rPr>
        <w:t>, se notificó el decreto de fecha 09 de diciembre de 2010, vía publicación en el diario oficial “El Peruano”, a fin de que éste tomase conocimiento de la infracción imputada en su contra y en consecuencia cumpliese con presentar sus descargos.</w:t>
      </w:r>
    </w:p>
    <w:p w:rsidR="004F4E97" w:rsidRPr="004F4E97" w:rsidRDefault="004F4E97" w:rsidP="004F4E97">
      <w:pPr>
        <w:pStyle w:val="Prrafodelista"/>
        <w:rPr>
          <w:rFonts w:ascii="Tahoma" w:hAnsi="Tahoma" w:cs="Tahoma"/>
        </w:rPr>
      </w:pPr>
    </w:p>
    <w:p w:rsidR="004F4E97" w:rsidRPr="004F4E97" w:rsidRDefault="004F4E97" w:rsidP="004F4E97">
      <w:pPr>
        <w:numPr>
          <w:ilvl w:val="0"/>
          <w:numId w:val="11"/>
        </w:numPr>
        <w:tabs>
          <w:tab w:val="clear" w:pos="596"/>
          <w:tab w:val="num" w:pos="540"/>
        </w:tabs>
        <w:ind w:left="540" w:hanging="540"/>
        <w:jc w:val="both"/>
        <w:rPr>
          <w:rFonts w:ascii="Tahoma" w:hAnsi="Tahoma" w:cs="Tahoma"/>
          <w:sz w:val="20"/>
          <w:szCs w:val="20"/>
          <w:lang w:val="es-PE"/>
        </w:rPr>
      </w:pPr>
      <w:r w:rsidRPr="004F4E97">
        <w:rPr>
          <w:rFonts w:ascii="Tahoma" w:hAnsi="Tahoma" w:cs="Tahoma"/>
          <w:sz w:val="20"/>
          <w:szCs w:val="20"/>
        </w:rPr>
        <w:t>No habiendo cumplido los integrantes del Consorcio con presentar sus descargos respectivos, mediante decreto de fecha 15 de julio de 2011, se hizo efectivo el apercibimiento de resolverse con la documentación obrante en autos y se dispuso remitir el expediente a la Primera Sala del Tribunal para su pronunciamiento.</w:t>
      </w:r>
    </w:p>
    <w:p w:rsidR="006E5571" w:rsidRPr="004F4E97" w:rsidRDefault="006E5571" w:rsidP="00E13E6B">
      <w:pPr>
        <w:pStyle w:val="Textoindependiente"/>
        <w:tabs>
          <w:tab w:val="left" w:pos="-2340"/>
          <w:tab w:val="left" w:pos="540"/>
        </w:tabs>
        <w:spacing w:after="0"/>
        <w:ind w:left="180" w:hanging="180"/>
        <w:jc w:val="both"/>
        <w:rPr>
          <w:rFonts w:ascii="Tahoma" w:hAnsi="Tahoma" w:cs="Tahoma"/>
          <w:b/>
          <w:sz w:val="20"/>
          <w:szCs w:val="20"/>
          <w:lang w:val="es-PE"/>
        </w:rPr>
      </w:pPr>
    </w:p>
    <w:p w:rsidR="00E13E6B" w:rsidRPr="004F4E97"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4F4E97">
        <w:rPr>
          <w:rFonts w:ascii="Tahoma" w:hAnsi="Tahoma" w:cs="Tahoma"/>
          <w:b/>
          <w:sz w:val="20"/>
          <w:szCs w:val="20"/>
        </w:rPr>
        <w:tab/>
      </w:r>
      <w:r w:rsidRPr="004F4E97">
        <w:rPr>
          <w:rFonts w:ascii="Tahoma" w:hAnsi="Tahoma" w:cs="Tahoma"/>
          <w:b/>
          <w:sz w:val="20"/>
          <w:szCs w:val="20"/>
        </w:rPr>
        <w:tab/>
        <w:t>FUNDAMENTACIÓN:</w:t>
      </w:r>
    </w:p>
    <w:p w:rsidR="00E13E6B" w:rsidRPr="004F4E97" w:rsidRDefault="00E13E6B" w:rsidP="00E13E6B">
      <w:pPr>
        <w:pStyle w:val="Sangradetextonormal"/>
        <w:spacing w:after="0"/>
        <w:ind w:left="0"/>
        <w:jc w:val="both"/>
        <w:rPr>
          <w:rFonts w:ascii="Tahoma" w:hAnsi="Tahoma" w:cs="Tahoma"/>
          <w:sz w:val="20"/>
          <w:szCs w:val="20"/>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4F4E97" w:rsidRPr="004F4E97" w:rsidRDefault="004F4E97" w:rsidP="004F4E97">
      <w:pPr>
        <w:pStyle w:val="Prrafodelista"/>
        <w:ind w:left="567"/>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4F4E97">
        <w:rPr>
          <w:rFonts w:ascii="Tahoma" w:hAnsi="Tahoma" w:cs="Tahoma"/>
          <w:lang w:val="es-MX"/>
        </w:rPr>
        <w:t>51 y 52 de la Ley de Contrataciones del Estado,</w:t>
      </w:r>
      <w:r w:rsidRPr="004F4E97">
        <w:rPr>
          <w:rFonts w:ascii="Tahoma" w:hAnsi="Tahoma" w:cs="Tahoma"/>
        </w:rPr>
        <w:t xml:space="preserve"> aprobada mediante Decreto Legislativo № 1017,</w:t>
      </w:r>
      <w:r w:rsidRPr="004F4E97">
        <w:rPr>
          <w:rFonts w:ascii="Tahoma" w:hAnsi="Tahoma" w:cs="Tahoma"/>
          <w:lang w:val="es-MX"/>
        </w:rPr>
        <w:t xml:space="preserve"> y en los casos expresamente previstos en el artículo 237 de su Reglamento, aprobado mediante Decreto Supremo </w:t>
      </w:r>
      <w:r w:rsidRPr="004F4E97">
        <w:rPr>
          <w:rFonts w:ascii="Tahoma" w:hAnsi="Tahoma" w:cs="Tahoma"/>
        </w:rPr>
        <w:t>№ 184-2008-EF, normas aplicables al momento de la presunta comisión de la infracción;</w:t>
      </w:r>
      <w:r w:rsidRPr="004F4E97">
        <w:rPr>
          <w:rFonts w:ascii="Tahoma" w:hAnsi="Tahoma" w:cs="Tahoma"/>
          <w:lang w:val="es-MX"/>
        </w:rPr>
        <w:t xml:space="preserve"> sin perjuicio de las acciones legales que correspondan adoptar a la Entidades, dentro de sus respectivas atribuciones, en salvaguarda de sus intereses</w:t>
      </w:r>
      <w:r w:rsidRPr="004F4E97">
        <w:rPr>
          <w:rFonts w:ascii="Tahoma" w:hAnsi="Tahoma" w:cs="Tahoma"/>
        </w:rPr>
        <w:t>.</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El presente caso está referido a la supuesta responsabilidad del Consorcio por el incumplimiento injustificado de las obligaciones del Contrato de Adquisición de Bienes № 49-2009-MDI de fecha 21 de diciembre de 2009, derivado de la Licitación Pública № 006-2009-CE/MDI, primera convocatoria, supuesto de hecho del tipo legal previsto en el literal b) del numeral 51.1 del artículo 51 de la Ley</w:t>
      </w:r>
      <w:r w:rsidRPr="004F4E97">
        <w:rPr>
          <w:rStyle w:val="Refdenotaalpie"/>
          <w:rFonts w:ascii="Tahoma" w:eastAsia="Calibri" w:hAnsi="Tahoma" w:cs="Tahoma"/>
        </w:rPr>
        <w:footnoteReference w:id="3"/>
      </w:r>
      <w:r w:rsidRPr="004F4E97">
        <w:rPr>
          <w:rFonts w:ascii="Tahoma" w:hAnsi="Tahoma" w:cs="Tahoma"/>
        </w:rPr>
        <w:t xml:space="preserve"> en concordancia con el literal b) del numeral 1) del artículo 237 del Reglamento</w:t>
      </w:r>
      <w:r w:rsidRPr="004F4E97">
        <w:rPr>
          <w:rStyle w:val="Refdenotaalpie"/>
          <w:rFonts w:ascii="Tahoma" w:eastAsia="Calibri" w:hAnsi="Tahoma" w:cs="Tahoma"/>
        </w:rPr>
        <w:footnoteReference w:id="4"/>
      </w:r>
      <w:r w:rsidRPr="004F4E97">
        <w:rPr>
          <w:rFonts w:ascii="Tahoma" w:hAnsi="Tahoma" w:cs="Tahoma"/>
        </w:rPr>
        <w:t>, normas vigentes al momento de suscitado el hecho imputado.</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lastRenderedPageBreak/>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Consorcio Contratista.</w:t>
      </w:r>
    </w:p>
    <w:p w:rsidR="004F4E97" w:rsidRPr="004F4E97" w:rsidRDefault="004F4E97" w:rsidP="004F4E97">
      <w:pPr>
        <w:pStyle w:val="Prrafodelista"/>
        <w:ind w:left="567"/>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Sobre el particular, el literal c) del artículo 40 de la Ley, dispone que en caso de incumplimiento por parte del contratista de alguna de sus obligaciones, preliminarmente observada por la Entidad y que no haya sido subsanada, esta última podrá resolver en forma total o parcial el contrato, mediante el envío por vía notarial del documento en el que se manifieste esta decisión y el motivo que la justifica.</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En ese orden de ideas, el artículo 168 del Reglamento prescribe las causales de resolución por incumplimiento, siendo que la Entidad podrá resolver el contrato cuando el Contratista: 1) Incumpla injustificadamente obligaciones contractuales, legales o reglamentarias a su cargo, pese a haber sido requerido para ello; 2) Haya acumulado el monto máximo de la penalidad por mora o el monto máximo para otras penalidades, en la ejecución de la prestación a su cargo; y 3) Paralice o reduzca injustificadamente la ejecución de la prestación, pese a haber sido requerido para corregir tal situación.</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Ahora bien, el procedimiento de resolución contractual, cuya observancia es condición necesaria para evaluar la existencia de eventuales responsabilidades de carácter administrativo, se encuentra previsto en el artículo 169 del Reglamento, según el cual en caso de incumplimiento contractual de una de las partes involucradas, la parte que resulte perjudicada con tal hecho requerirá a la otra notarialmente para que satisfaga sus obligaciones en un plazo no mayor de cinco (5) días, bajo apercibimiento de resolver el contrato. De continuar el incumplimiento contractual, la citada disposición reglamentaria precisa que la parte perjudicada comunicará notarialmente la resolución total o parcial del contrato. (el subrayado es nuestro)</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Este criterio, además, ha sido recogido en el Acuerdo de Sala Plena № 018/010 del 4 de setiembre de 2002</w:t>
      </w:r>
      <w:r w:rsidRPr="004F4E97">
        <w:rPr>
          <w:rStyle w:val="Refdenotaalpie"/>
          <w:rFonts w:ascii="Tahoma" w:eastAsia="Calibri" w:hAnsi="Tahoma" w:cs="Tahoma"/>
        </w:rPr>
        <w:footnoteReference w:id="5"/>
      </w:r>
      <w:r w:rsidRPr="004F4E97">
        <w:rPr>
          <w:rFonts w:ascii="Tahoma" w:hAnsi="Tahoma" w:cs="Tahoma"/>
        </w:rPr>
        <w:t xml:space="preserve">,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 la Contratista para el cumplimiento de la obligación y la carta notarial mediante la cual se le comunica el Acuerdo o Resolución que resuelve el contrato, agregando que en caso de no </w:t>
      </w:r>
      <w:r w:rsidRPr="004F4E97">
        <w:rPr>
          <w:rFonts w:ascii="Tahoma" w:hAnsi="Tahoma" w:cs="Tahoma"/>
        </w:rPr>
        <w:lastRenderedPageBreak/>
        <w:t>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De los antecedentes remitidos por la Entidad, se advierte que la Entidad requirió a la Consorcio, mediante Carta Notarial de fecha 06 de abril de 2010, debidamente notificada el 07 del mismo mes y año, a fin que cumpliera dentro del plazo de un (1) día con las obligaciones a su cargo, esto es con entregar 01 Planta Cha</w:t>
      </w:r>
      <w:r>
        <w:rPr>
          <w:rFonts w:ascii="Tahoma" w:hAnsi="Tahoma" w:cs="Tahoma"/>
        </w:rPr>
        <w:t xml:space="preserve">ncadora Móvil de 40-60 TN/H; </w:t>
      </w:r>
      <w:r w:rsidRPr="004F4E97">
        <w:rPr>
          <w:rFonts w:ascii="Tahoma" w:hAnsi="Tahoma" w:cs="Tahoma"/>
        </w:rPr>
        <w:t>bajo apercibimiento de proceder a la resolución contractual.</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lang w:val="es-PE"/>
        </w:rPr>
      </w:pPr>
      <w:r w:rsidRPr="004F4E97">
        <w:rPr>
          <w:rFonts w:ascii="Tahoma" w:hAnsi="Tahoma" w:cs="Tahoma"/>
        </w:rPr>
        <w:t>Asimismo, luego de persistir el Contratista en su incumplimiento, a través de la Carta Notarial de fecha 24 de mayo de 2010, diligenciada el 25 del mismo mes y año, la Entidad le comunicó la resolución del Contrato de Adquisición de Bienes № 49-2009-MDI de fecha 21 de diciembre de 2009 al no haber internado el bien antes descrito.</w:t>
      </w:r>
    </w:p>
    <w:p w:rsidR="004F4E97" w:rsidRPr="004F4E97" w:rsidRDefault="004F4E97" w:rsidP="004F4E97">
      <w:pPr>
        <w:pStyle w:val="Prrafodelista"/>
        <w:rPr>
          <w:rFonts w:ascii="Tahoma" w:hAnsi="Tahoma" w:cs="Tahoma"/>
          <w:lang w:val="es-PE"/>
        </w:rPr>
      </w:pPr>
    </w:p>
    <w:p w:rsidR="004F4E97" w:rsidRPr="004F4E97" w:rsidRDefault="004F4E97" w:rsidP="004F4E97">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4F4E97">
        <w:rPr>
          <w:rFonts w:ascii="Tahoma" w:hAnsi="Tahoma" w:cs="Tahoma"/>
          <w:sz w:val="20"/>
          <w:szCs w:val="20"/>
        </w:rPr>
        <w:t>En adición a ello, cabe recalcar que de acuerdo a lo establecido por la norma aplicable, las controversias que surjan entre las partes sobre la ejecución, interpretación, resolución, inexistencia, ineficacia o invalidez del contrato se resolverán mediante conciliación y/o arbitraje, según el acuerdo de las partes, siendo que la parte que se tiene por afectada, tiene el derecho de solicitar su inicio</w:t>
      </w:r>
      <w:r w:rsidRPr="004F4E97">
        <w:rPr>
          <w:rStyle w:val="Refdenotaalpie"/>
          <w:rFonts w:ascii="Tahoma" w:eastAsia="Calibri" w:hAnsi="Tahoma" w:cs="Tahoma"/>
          <w:sz w:val="20"/>
          <w:szCs w:val="20"/>
        </w:rPr>
        <w:footnoteReference w:id="6"/>
      </w:r>
      <w:r w:rsidRPr="004F4E97">
        <w:rPr>
          <w:rFonts w:ascii="Tahoma" w:hAnsi="Tahoma" w:cs="Tahoma"/>
          <w:sz w:val="20"/>
          <w:szCs w:val="20"/>
        </w:rPr>
        <w:t>.  Entonces, considerando que la Entidad en su Carta № 118-2010-GM/MDI de fecha 29 de noviembre de 2010, informó que el Contratista no solicitó discutir la resolución del contrato dentro de los plazos establecidos en la norma conforme a su derecho, debe entenderse que la misma quedó consentida.</w:t>
      </w:r>
    </w:p>
    <w:p w:rsidR="004F4E97" w:rsidRPr="004F4E97" w:rsidRDefault="004F4E97" w:rsidP="004F4E97">
      <w:pPr>
        <w:pStyle w:val="Prrafodelista"/>
        <w:rPr>
          <w:rFonts w:ascii="Tahoma" w:hAnsi="Tahoma" w:cs="Tahoma"/>
        </w:rPr>
      </w:pPr>
    </w:p>
    <w:p w:rsidR="004F4E97" w:rsidRPr="004F4E97" w:rsidRDefault="004F4E97" w:rsidP="004F4E97">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4F4E97">
        <w:rPr>
          <w:rFonts w:ascii="Tahoma" w:hAnsi="Tahoma" w:cs="Tahoma"/>
          <w:sz w:val="20"/>
          <w:szCs w:val="20"/>
        </w:rPr>
        <w:t>Habiendo dilucidado el aspecto formal y procedimental de la resolución contractual bajo examen</w:t>
      </w:r>
      <w:r w:rsidRPr="004F4E97">
        <w:rPr>
          <w:rFonts w:ascii="Tahoma" w:hAnsi="Tahoma" w:cs="Tahoma"/>
          <w:sz w:val="20"/>
          <w:szCs w:val="20"/>
          <w:lang w:val="es-PE"/>
        </w:rPr>
        <w:t xml:space="preserve">, corresponde determinar si el Consorcio es responsable de dicha resolución por el incumplimiento injustificado de sus obligaciones contractuales, ya que </w:t>
      </w:r>
      <w:r w:rsidRPr="004F4E97">
        <w:rPr>
          <w:rFonts w:ascii="Tahoma" w:hAnsi="Tahoma" w:cs="Tahoma"/>
          <w:sz w:val="20"/>
          <w:szCs w:val="20"/>
        </w:rPr>
        <w:t>en el supuesto de haberse producido por razones de caso fortuito o fuerza mayor, nos encontraríamos ante una causa justificante de la inejecución de las prestaciones a su cargo.</w:t>
      </w:r>
    </w:p>
    <w:p w:rsidR="004F4E97" w:rsidRPr="004F4E97" w:rsidRDefault="004F4E97" w:rsidP="004F4E97">
      <w:pPr>
        <w:pStyle w:val="Prrafodelista"/>
        <w:rPr>
          <w:rFonts w:ascii="Tahoma" w:hAnsi="Tahoma" w:cs="Tahoma"/>
        </w:rPr>
      </w:pPr>
    </w:p>
    <w:p w:rsidR="004F4E97" w:rsidRDefault="004F4E97" w:rsidP="004F4E97">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4F4E97">
        <w:rPr>
          <w:rFonts w:ascii="Tahoma" w:hAnsi="Tahoma" w:cs="Tahoma"/>
          <w:sz w:val="20"/>
          <w:szCs w:val="20"/>
        </w:rPr>
        <w:t>Así, pues, conforme a lo establecido en el artículo 50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201 del Reglamento prevé que el contrato es obligatorio para las partes que lo suscriben. Por ello, el contrato constituye la fuente de obligación de las partes contratantes, la cual está constituida en el mandato legal, reglamentario, las bases integradas y la oferta ganadora, por lo que debe ser atendido tanto por el Consorcio Contratista como por la Entidad, debido a que su formalización constituye una declaración de voluntad y al estar debidamente perfeccionado, tiene fuerza de Ley.</w:t>
      </w:r>
    </w:p>
    <w:p w:rsidR="004F4E97" w:rsidRDefault="004F4E97" w:rsidP="004F4E97">
      <w:pPr>
        <w:pStyle w:val="Prrafodelista"/>
        <w:rPr>
          <w:rFonts w:ascii="Tahoma" w:hAnsi="Tahoma" w:cs="Tahoma"/>
        </w:rPr>
      </w:pPr>
    </w:p>
    <w:p w:rsidR="004F4E97" w:rsidRDefault="004F4E97" w:rsidP="004F4E97">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4F4E97">
        <w:rPr>
          <w:rFonts w:ascii="Tahoma" w:hAnsi="Tahoma" w:cs="Tahoma"/>
          <w:sz w:val="20"/>
          <w:szCs w:val="20"/>
        </w:rPr>
        <w:lastRenderedPageBreak/>
        <w:t>En el presente caso, fluye de los actuados que la Consorcio, pese a haber sido válidamente requerido por la Entidad para que haga efectivo el cumplimiento de las obligaciones derivadas del Contrato de Adquisición de Bienes № 49-2009-MDI, luego de habérsele concedido un plazo adicional al originalmente pactado, ha persistido en su incumplimiento, hecho que ha desencadenado la resolución del mencionado contrato.</w:t>
      </w:r>
    </w:p>
    <w:p w:rsidR="004F4E97" w:rsidRDefault="004F4E97" w:rsidP="004F4E97">
      <w:pPr>
        <w:pStyle w:val="Prrafodelista"/>
        <w:rPr>
          <w:rFonts w:ascii="Tahoma" w:hAnsi="Tahoma" w:cs="Tahoma"/>
        </w:rPr>
      </w:pPr>
    </w:p>
    <w:p w:rsidR="004F4E97" w:rsidRDefault="004F4E97" w:rsidP="004F4E97">
      <w:pPr>
        <w:pStyle w:val="msonormalcxspmiddle"/>
        <w:widowControl w:val="0"/>
        <w:numPr>
          <w:ilvl w:val="0"/>
          <w:numId w:val="4"/>
        </w:numPr>
        <w:suppressAutoHyphens/>
        <w:spacing w:before="0" w:beforeAutospacing="0" w:after="0" w:afterAutospacing="0"/>
        <w:ind w:left="567" w:hanging="567"/>
        <w:contextualSpacing/>
        <w:jc w:val="both"/>
        <w:rPr>
          <w:rFonts w:ascii="Tahoma" w:hAnsi="Tahoma" w:cs="Tahoma"/>
          <w:sz w:val="20"/>
          <w:szCs w:val="20"/>
        </w:rPr>
      </w:pPr>
      <w:r w:rsidRPr="004F4E97">
        <w:rPr>
          <w:rFonts w:ascii="Tahoma" w:hAnsi="Tahoma" w:cs="Tahoma"/>
          <w:sz w:val="20"/>
          <w:szCs w:val="20"/>
        </w:rPr>
        <w:t>En principio es pertinente tener en consideración que el Consorcio a través de la Declaración Jurada de Plazo de Entrega se comprometió a internar el bien objeto del proceso de selección en el plazo de noventa (90) días calendario</w:t>
      </w:r>
      <w:r w:rsidRPr="004F4E97">
        <w:rPr>
          <w:rFonts w:ascii="Tahoma" w:hAnsi="Tahoma" w:cs="Tahoma"/>
          <w:sz w:val="20"/>
          <w:szCs w:val="20"/>
          <w:lang w:val="es-ES_tradnl"/>
        </w:rPr>
        <w:t xml:space="preserve">. </w:t>
      </w:r>
      <w:r w:rsidRPr="004F4E97">
        <w:rPr>
          <w:rFonts w:ascii="Tahoma" w:hAnsi="Tahoma" w:cs="Tahoma"/>
          <w:sz w:val="20"/>
          <w:szCs w:val="20"/>
          <w:lang w:val="es-MX"/>
        </w:rPr>
        <w:t xml:space="preserve">Razón por la cual, en la Cláusula Quinta del </w:t>
      </w:r>
      <w:r w:rsidRPr="004F4E97">
        <w:rPr>
          <w:rFonts w:ascii="Tahoma" w:hAnsi="Tahoma" w:cs="Tahoma"/>
          <w:sz w:val="20"/>
          <w:szCs w:val="20"/>
        </w:rPr>
        <w:t>Contrato de Adquisición de Bienes № 49-2009-MDI de fecha 21 de diciembre de 2009</w:t>
      </w:r>
      <w:r w:rsidRPr="004F4E97">
        <w:rPr>
          <w:rFonts w:ascii="Tahoma" w:hAnsi="Tahoma" w:cs="Tahoma"/>
          <w:sz w:val="20"/>
          <w:szCs w:val="20"/>
          <w:lang w:val="es-MX"/>
        </w:rPr>
        <w:t xml:space="preserve">, se estableció que el plazo de ejecución </w:t>
      </w:r>
      <w:r w:rsidRPr="004F4E97">
        <w:rPr>
          <w:rFonts w:ascii="Tahoma" w:hAnsi="Tahoma" w:cs="Tahoma"/>
          <w:sz w:val="20"/>
          <w:szCs w:val="20"/>
        </w:rPr>
        <w:t>contractual sería de noventa (90) días calendarios, debiendo el Consorcio entregar el bien adjudicado en el Taller de la Entidad.</w:t>
      </w:r>
    </w:p>
    <w:p w:rsidR="004F4E97" w:rsidRDefault="004F4E97" w:rsidP="004F4E97">
      <w:pPr>
        <w:pStyle w:val="Prrafodelista"/>
        <w:rPr>
          <w:rFonts w:ascii="Tahoma" w:hAnsi="Tahoma" w:cs="Tahoma"/>
        </w:rPr>
      </w:pPr>
    </w:p>
    <w:p w:rsidR="004F4E97" w:rsidRDefault="004F4E97" w:rsidP="004F4E97">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4F4E97">
        <w:rPr>
          <w:rFonts w:ascii="Tahoma" w:hAnsi="Tahoma" w:cs="Tahoma"/>
          <w:sz w:val="20"/>
          <w:szCs w:val="20"/>
        </w:rPr>
        <w:t>Nótese, entonces que la fecha de inicio de ejecución contractual data desde el 22 de diciembre de 2009, y de término el 22 de marzo de 2010</w:t>
      </w:r>
      <w:r w:rsidRPr="004F4E97">
        <w:rPr>
          <w:rFonts w:ascii="Tahoma" w:hAnsi="Tahoma" w:cs="Tahoma"/>
          <w:sz w:val="20"/>
          <w:szCs w:val="20"/>
          <w:lang w:val="es-MX"/>
        </w:rPr>
        <w:t xml:space="preserve">, </w:t>
      </w:r>
      <w:r w:rsidRPr="004F4E97">
        <w:rPr>
          <w:rFonts w:ascii="Tahoma" w:hAnsi="Tahoma" w:cs="Tahoma"/>
          <w:sz w:val="20"/>
          <w:szCs w:val="20"/>
        </w:rPr>
        <w:t>dicho lo cual, es relevante señalar que en esta última fecha el Consorcio no había cumplido con ejecutar sus prestaciones a su cargo, sino por el contrario el 19 de marzo de 2010, solicitó a la Entidad que le otorgase una ampliación de plazo hasta el 19 de abril del mismo año, siendo además, que de manera posterior a esta comunicación, a través de la Carta № 003-2010/CPS, el citado Consorcio solicitó otra ampliación de plazo hasta el 27 de abril de 2010, toda vez que –según afirmó– en la etapa de construcción y pruebas del bien adjudicado se habían implementado mejoras técnicas, hecho que había ocasionado el retraso del plazo inicialmente estipulado en el contrato suscrito.</w:t>
      </w:r>
    </w:p>
    <w:p w:rsidR="004F4E97" w:rsidRPr="004F4E97" w:rsidRDefault="004F4E97" w:rsidP="004F4E97">
      <w:pPr>
        <w:pStyle w:val="Prrafodelista"/>
        <w:rPr>
          <w:rFonts w:ascii="Tahoma" w:hAnsi="Tahoma" w:cs="Tahoma"/>
          <w:lang w:val="es-MX"/>
        </w:rPr>
      </w:pPr>
    </w:p>
    <w:p w:rsidR="004F4E97" w:rsidRPr="004F4E97" w:rsidRDefault="004F4E97" w:rsidP="004F4E97">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4F4E97">
        <w:rPr>
          <w:rFonts w:ascii="Tahoma" w:hAnsi="Tahoma" w:cs="Tahoma"/>
          <w:sz w:val="20"/>
          <w:szCs w:val="20"/>
          <w:lang w:val="es-MX"/>
        </w:rPr>
        <w:t>Según se observa, queda claro que las obligaciones contractuales asumidas por el Consorcio deberían ser en óptimas condiciones y conforme al plazo estipulado. Pese a ello, ha quedado acreditado en el presente caso que, luego del plazo solicitado por el Consorcio para el cumplimiento de sus obligaciones, no cumplió con sus prestaciones a cargo, razón por la cual, la Entidad en cumplimiento de la normativa de la materia requirió válidamente  al Consorcio que internase el bien adjudicado –</w:t>
      </w:r>
      <w:r w:rsidRPr="004F4E97">
        <w:rPr>
          <w:rFonts w:ascii="Tahoma" w:hAnsi="Tahoma" w:cs="Tahoma"/>
          <w:sz w:val="20"/>
          <w:szCs w:val="20"/>
        </w:rPr>
        <w:t>01 Planta Chancadora Móvil de 40-60 TN/H</w:t>
      </w:r>
      <w:r w:rsidRPr="004F4E97">
        <w:rPr>
          <w:rFonts w:ascii="Tahoma" w:hAnsi="Tahoma" w:cs="Tahoma"/>
          <w:sz w:val="20"/>
          <w:szCs w:val="20"/>
          <w:lang w:val="es-MX"/>
        </w:rPr>
        <w:t xml:space="preserve">– al 08 de mayo de 2010, fecha límite para el cumplimiento del </w:t>
      </w:r>
      <w:r w:rsidRPr="004F4E97">
        <w:rPr>
          <w:rFonts w:ascii="Tahoma" w:hAnsi="Tahoma" w:cs="Tahoma"/>
          <w:sz w:val="20"/>
          <w:szCs w:val="20"/>
        </w:rPr>
        <w:t xml:space="preserve">Contrato de Adquisición de Bienes № 49-2009-MDI, hecho fáctico que no ha sido cumplido por éste, de acuerdo a </w:t>
      </w:r>
      <w:r w:rsidRPr="004F4E97">
        <w:rPr>
          <w:rFonts w:ascii="Tahoma" w:hAnsi="Tahoma" w:cs="Tahoma"/>
          <w:sz w:val="20"/>
          <w:szCs w:val="20"/>
          <w:lang w:val="es-MX"/>
        </w:rPr>
        <w:t>lo informado por la Entidad, así como de las comunicaciones cursadas al Consorcio.</w:t>
      </w:r>
    </w:p>
    <w:p w:rsidR="004F4E97" w:rsidRDefault="004F4E97" w:rsidP="004F4E97">
      <w:pPr>
        <w:pStyle w:val="Prrafodelista"/>
        <w:rPr>
          <w:rFonts w:ascii="Tahoma" w:hAnsi="Tahoma" w:cs="Tahoma"/>
        </w:rPr>
      </w:pPr>
    </w:p>
    <w:p w:rsidR="004F4E97" w:rsidRPr="004F4E97" w:rsidRDefault="004F4E97" w:rsidP="004F4E97">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4F4E97">
        <w:rPr>
          <w:rFonts w:ascii="Tahoma" w:hAnsi="Tahoma" w:cs="Tahoma"/>
          <w:sz w:val="20"/>
          <w:szCs w:val="20"/>
        </w:rPr>
        <w:t>Así, las cosas, resulta necesario mencionar que sean los postores los únicos responsables de los términos consignados en su oferta presentado en el proceso de selección, por lo que su sola presentación los vincula jurídicamente, de modo que el eventual otorgamiento de la Buena Pro a favor del ganador y la consecuente suscripción contractual, obliga a esta último a cumplir con lo ofertado dentro del plazo señalado, para lo cual aquél de manera diligente debe prever que dicha prestación se realice en las condiciones pactadas.</w:t>
      </w:r>
    </w:p>
    <w:p w:rsidR="004F4E97" w:rsidRPr="004F4E97" w:rsidRDefault="004F4E97" w:rsidP="004F4E97">
      <w:pPr>
        <w:pStyle w:val="Sangradetextonormal"/>
        <w:tabs>
          <w:tab w:val="num" w:pos="540"/>
          <w:tab w:val="left" w:pos="900"/>
        </w:tabs>
        <w:spacing w:after="0"/>
        <w:ind w:left="540"/>
        <w:jc w:val="both"/>
        <w:rPr>
          <w:rFonts w:ascii="Tahoma" w:hAnsi="Tahoma" w:cs="Tahoma"/>
          <w:sz w:val="20"/>
          <w:szCs w:val="20"/>
        </w:rPr>
      </w:pPr>
    </w:p>
    <w:p w:rsidR="004F4E97" w:rsidRPr="004F4E97" w:rsidRDefault="004F4E97" w:rsidP="004F4E97">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4F4E97">
        <w:rPr>
          <w:rFonts w:ascii="Tahoma" w:hAnsi="Tahoma" w:cs="Tahoma"/>
          <w:sz w:val="20"/>
          <w:szCs w:val="20"/>
        </w:rPr>
        <w:t xml:space="preserve">Ahora bien, y en la medida en que el Consorcio no ha presentado argumentos y/o documentación adicional que permitan justificar su incumplimiento y que adicionalmente no ha cuestionado la resolución del contrato en la vía correspondiente, se colige entonces que el Consorcio ha incurrido en la causal de aplicación de sanción consistente en haber dado lugar a la resolución del </w:t>
      </w:r>
      <w:r w:rsidRPr="004F4E97">
        <w:rPr>
          <w:rFonts w:ascii="Tahoma" w:hAnsi="Tahoma" w:cs="Tahoma"/>
          <w:sz w:val="20"/>
          <w:szCs w:val="20"/>
          <w:lang w:val="es-MX"/>
        </w:rPr>
        <w:t xml:space="preserve">Contrato de Adquisición de Bienes № 49-2009-MDI de fecha </w:t>
      </w:r>
      <w:r w:rsidRPr="004F4E97">
        <w:rPr>
          <w:rFonts w:ascii="Tahoma" w:hAnsi="Tahoma" w:cs="Tahoma"/>
          <w:sz w:val="20"/>
          <w:szCs w:val="20"/>
          <w:lang w:val="es-MX"/>
        </w:rPr>
        <w:lastRenderedPageBreak/>
        <w:t>21 de diciembre de 2009</w:t>
      </w:r>
      <w:r w:rsidRPr="004F4E97">
        <w:rPr>
          <w:rFonts w:ascii="Tahoma" w:hAnsi="Tahoma" w:cs="Tahoma"/>
          <w:sz w:val="20"/>
          <w:szCs w:val="20"/>
        </w:rPr>
        <w:t>, por causal atribuible a su parte.</w:t>
      </w:r>
    </w:p>
    <w:p w:rsidR="004F4E97" w:rsidRPr="004F4E97" w:rsidRDefault="004F4E97" w:rsidP="004F4E97">
      <w:pPr>
        <w:pStyle w:val="Textoindependiente"/>
        <w:widowControl w:val="0"/>
        <w:suppressAutoHyphens/>
        <w:ind w:left="567"/>
        <w:rPr>
          <w:rFonts w:ascii="Tahoma" w:hAnsi="Tahoma" w:cs="Tahoma"/>
          <w:sz w:val="20"/>
          <w:szCs w:val="20"/>
        </w:rPr>
      </w:pPr>
    </w:p>
    <w:p w:rsidR="004F4E97" w:rsidRPr="004F4E97" w:rsidRDefault="004F4E97" w:rsidP="004F4E97">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4F4E97">
        <w:rPr>
          <w:rFonts w:ascii="Tahoma" w:hAnsi="Tahoma" w:cs="Tahoma"/>
          <w:sz w:val="20"/>
          <w:szCs w:val="20"/>
        </w:rPr>
        <w:t>Por lo tanto, en virtud a que el Consorcio no ha acreditado que el incumplimiento de sus obligaciones contractuales, haya sido producto de caso fortuito o fuerza mayor, ni existen indicios que dicho incumplimiento se haya producido por causas imprevisibles ajenas a su voluntad o por causa atribuible a la Entidad, este Colegiado concluye que la resolución del Contrato de Adquisición de Bienes № 49-2009-MDI</w:t>
      </w:r>
      <w:r w:rsidRPr="004F4E97">
        <w:rPr>
          <w:rFonts w:ascii="Tahoma" w:hAnsi="Tahoma" w:cs="Tahoma"/>
          <w:sz w:val="20"/>
          <w:szCs w:val="20"/>
          <w:lang w:val="es-MX"/>
        </w:rPr>
        <w:t xml:space="preserve"> le </w:t>
      </w:r>
      <w:r w:rsidRPr="004F4E97">
        <w:rPr>
          <w:rFonts w:ascii="Tahoma" w:hAnsi="Tahoma" w:cs="Tahoma"/>
          <w:sz w:val="20"/>
          <w:szCs w:val="20"/>
        </w:rPr>
        <w:t>resulta atribuible.</w:t>
      </w:r>
    </w:p>
    <w:p w:rsidR="004F4E97" w:rsidRPr="004F4E97" w:rsidRDefault="004F4E97" w:rsidP="004F4E97">
      <w:pPr>
        <w:pStyle w:val="Prrafodelista"/>
        <w:rPr>
          <w:rFonts w:ascii="Tahoma" w:hAnsi="Tahoma" w:cs="Tahoma"/>
          <w:lang w:val="es-PE"/>
        </w:rPr>
      </w:pPr>
    </w:p>
    <w:p w:rsidR="004F4E97" w:rsidRPr="004F4E97" w:rsidRDefault="004F4E97" w:rsidP="004F4E97">
      <w:pPr>
        <w:pStyle w:val="Prrafodelista"/>
        <w:widowControl w:val="0"/>
        <w:numPr>
          <w:ilvl w:val="0"/>
          <w:numId w:val="4"/>
        </w:numPr>
        <w:tabs>
          <w:tab w:val="num" w:pos="567"/>
        </w:tabs>
        <w:suppressAutoHyphens/>
        <w:ind w:left="567" w:hanging="567"/>
        <w:jc w:val="both"/>
        <w:rPr>
          <w:rFonts w:ascii="Tahoma" w:hAnsi="Tahoma" w:cs="Tahoma"/>
        </w:rPr>
      </w:pPr>
      <w:r w:rsidRPr="004F4E97">
        <w:rPr>
          <w:rFonts w:ascii="Tahoma" w:hAnsi="Tahoma" w:cs="Tahoma"/>
        </w:rPr>
        <w:t>A ello debemos agregar que, en los casos de incumplimiento de obligaciones, existe la presunción legal establecida en el artículo 1329 del mismo Código Civil, según el cual aquél es producto de la falta de diligencia del deudor</w:t>
      </w:r>
      <w:r w:rsidRPr="004F4E97">
        <w:rPr>
          <w:rStyle w:val="Refdenotaalpie"/>
          <w:rFonts w:ascii="Tahoma" w:eastAsia="Calibri" w:hAnsi="Tahoma" w:cs="Tahoma"/>
        </w:rPr>
        <w:footnoteReference w:id="7"/>
      </w:r>
      <w:r w:rsidRPr="004F4E97">
        <w:rPr>
          <w:rFonts w:ascii="Tahoma" w:hAnsi="Tahoma" w:cs="Tahoma"/>
        </w:rPr>
        <w:t xml:space="preserve">, lo que implica que es su deber demostrar lo contrario y acreditar que, pese a haber actuado con la diligencia ordinaria exigida por la naturaleza de la prestación, le fue imposible cumplirla. </w:t>
      </w:r>
    </w:p>
    <w:p w:rsidR="004F4E97" w:rsidRPr="004F4E97" w:rsidRDefault="004F4E97" w:rsidP="004F4E97">
      <w:pPr>
        <w:pStyle w:val="Prrafodelista"/>
        <w:widowControl w:val="0"/>
        <w:suppressAutoHyphens/>
        <w:ind w:left="567"/>
        <w:rPr>
          <w:rFonts w:ascii="Tahoma" w:hAnsi="Tahoma" w:cs="Tahoma"/>
        </w:rPr>
      </w:pPr>
    </w:p>
    <w:p w:rsidR="004F4E97" w:rsidRPr="004F4E97" w:rsidRDefault="004F4E97" w:rsidP="004F4E97">
      <w:pPr>
        <w:pStyle w:val="Prrafodelista"/>
        <w:widowControl w:val="0"/>
        <w:numPr>
          <w:ilvl w:val="0"/>
          <w:numId w:val="4"/>
        </w:numPr>
        <w:tabs>
          <w:tab w:val="num" w:pos="567"/>
        </w:tabs>
        <w:suppressAutoHyphens/>
        <w:ind w:left="567" w:hanging="567"/>
        <w:jc w:val="both"/>
        <w:rPr>
          <w:rFonts w:ascii="Tahoma" w:hAnsi="Tahoma" w:cs="Tahoma"/>
        </w:rPr>
      </w:pPr>
      <w:r w:rsidRPr="004F4E97">
        <w:rPr>
          <w:rFonts w:ascii="Tahoma" w:hAnsi="Tahoma" w:cs="Tahoma"/>
        </w:rPr>
        <w:t xml:space="preserve">Por las consideraciones expuestas, se desprende que la resolución del </w:t>
      </w:r>
      <w:r w:rsidRPr="004F4E97">
        <w:rPr>
          <w:rFonts w:ascii="Tahoma" w:hAnsi="Tahoma" w:cs="Tahoma"/>
          <w:lang w:val="es-MX"/>
        </w:rPr>
        <w:t xml:space="preserve">Contrato de Adquisición de Bienes № 49-2009-MDI de fecha 21 de diciembre de 2009 </w:t>
      </w:r>
      <w:r w:rsidRPr="004F4E97">
        <w:rPr>
          <w:rFonts w:ascii="Tahoma" w:hAnsi="Tahoma" w:cs="Tahoma"/>
        </w:rPr>
        <w:t>estuvo motivada por causal atribuible al Consorcio Contratista, al no haber cumplido con prestar el servicio ofertado, por lo que el hecho imputado califica como infracción administrativa según la causal de imposición de sanción tipificada en el literal b) numeral 1 del artículo 237 del Reglamento, la cual se encuentra sancionada con inhabilitación temporal para ser postor y contratar con el Estado por un período no menor de uno (1) ni mayor de tres (3) años.</w:t>
      </w:r>
    </w:p>
    <w:p w:rsidR="004F4E97" w:rsidRPr="004F4E97" w:rsidRDefault="004F4E97" w:rsidP="004F4E97">
      <w:pPr>
        <w:pStyle w:val="Prrafodelista"/>
        <w:rPr>
          <w:rFonts w:ascii="Tahoma" w:hAnsi="Tahoma" w:cs="Tahoma"/>
        </w:rPr>
      </w:pPr>
    </w:p>
    <w:p w:rsidR="004F4E97" w:rsidRPr="004F4E97" w:rsidRDefault="004F4E97" w:rsidP="004F4E97">
      <w:pPr>
        <w:pStyle w:val="Prrafodelista"/>
        <w:widowControl w:val="0"/>
        <w:numPr>
          <w:ilvl w:val="0"/>
          <w:numId w:val="4"/>
        </w:numPr>
        <w:tabs>
          <w:tab w:val="num" w:pos="567"/>
        </w:tabs>
        <w:suppressAutoHyphens/>
        <w:ind w:left="567" w:hanging="567"/>
        <w:jc w:val="both"/>
        <w:rPr>
          <w:rFonts w:ascii="Tahoma" w:hAnsi="Tahoma" w:cs="Tahoma"/>
        </w:rPr>
      </w:pPr>
      <w:r w:rsidRPr="004F4E97">
        <w:rPr>
          <w:rFonts w:ascii="Tahoma" w:hAnsi="Tahoma" w:cs="Tahoma"/>
        </w:rPr>
        <w:t>A efectos de graduar la sanción administrativa a imponerse, debe considerarse los criterios establecidos en el artículo 245 del Reglamento</w:t>
      </w:r>
      <w:r w:rsidRPr="004F4E97">
        <w:rPr>
          <w:rStyle w:val="Refdenotaalpie"/>
          <w:rFonts w:ascii="Tahoma" w:eastAsia="Calibri" w:hAnsi="Tahoma" w:cs="Tahoma"/>
        </w:rPr>
        <w:footnoteReference w:id="8"/>
      </w:r>
      <w:r w:rsidRPr="004F4E97">
        <w:rPr>
          <w:rFonts w:ascii="Tahoma" w:hAnsi="Tahoma" w:cs="Tahoma"/>
        </w:rPr>
        <w:t>.</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tabs>
          <w:tab w:val="num" w:pos="567"/>
        </w:tabs>
        <w:ind w:left="567" w:hanging="567"/>
        <w:jc w:val="both"/>
        <w:rPr>
          <w:rFonts w:ascii="Tahoma" w:hAnsi="Tahoma" w:cs="Tahoma"/>
        </w:rPr>
      </w:pPr>
      <w:r w:rsidRPr="004F4E97">
        <w:rPr>
          <w:rFonts w:ascii="Tahoma" w:hAnsi="Tahoma" w:cs="Tahoma"/>
        </w:rPr>
        <w:t>Previamente al análisis de la graduación de la sanción, cabe precisar que, de acuerdo con lo dispuesto en el artículo 239 del Reglamento, las infracciones cometidas por un consorcio durante la ejecución del contrato, se imputarán a todos los integrantes del mismo, aplicándosele a cada uno de ellos la sanción que le corresponda, tanto más si en el presente caso no se advierte factor alguno que desvincule a una de las empresas consorciadas, toda vez que el cumplimiento de obligaciones contractuales era de exclusiva responsabilidad de los integrantes del Consorcio, de acuerdo con lo establecido en la Cláusula Novena del Contrato de Consorcio.</w:t>
      </w:r>
    </w:p>
    <w:p w:rsidR="004F4E97" w:rsidRPr="004F4E97" w:rsidRDefault="004F4E97" w:rsidP="004F4E97">
      <w:pPr>
        <w:pStyle w:val="Prrafodelista"/>
        <w:rPr>
          <w:rFonts w:ascii="Tahoma" w:hAnsi="Tahoma" w:cs="Tahoma"/>
        </w:rPr>
      </w:pPr>
    </w:p>
    <w:p w:rsidR="004F4E97" w:rsidRPr="004F4E97" w:rsidRDefault="004F4E97" w:rsidP="004F4E97">
      <w:pPr>
        <w:ind w:left="540"/>
        <w:jc w:val="both"/>
        <w:rPr>
          <w:rFonts w:ascii="Tahoma" w:hAnsi="Tahoma" w:cs="Tahoma"/>
          <w:sz w:val="20"/>
          <w:szCs w:val="20"/>
        </w:rPr>
      </w:pPr>
      <w:r w:rsidRPr="004F4E97">
        <w:rPr>
          <w:rFonts w:ascii="Tahoma" w:hAnsi="Tahoma" w:cs="Tahoma"/>
          <w:sz w:val="20"/>
          <w:szCs w:val="20"/>
        </w:rPr>
        <w:lastRenderedPageBreak/>
        <w:t>En ese sentido, en el presente caso la sanción se aplicará a cada uno de los integrantes del Consorcio, conforme a lo expuesto en los párrafos recedentes.</w:t>
      </w:r>
    </w:p>
    <w:p w:rsidR="004F4E97" w:rsidRPr="004F4E97" w:rsidRDefault="004F4E97" w:rsidP="004F4E97">
      <w:pPr>
        <w:pStyle w:val="Prrafodelista"/>
        <w:ind w:left="567"/>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En ese sentido, en relación con la naturaleza de la infracción cometida, es importante señalar que la conducta efectuada por los integrantes del Consorcio reviste de una considerable gravedad en la medida que desde el momento en que se asumió un compromiso contractual frente a la Entidad, aquéllos se encontraban llamados a cumplir cabalmente con lo ofrecido, máxime si es conocido que ante un eventual incumplimiento se verían seriamente afectados intereses de carácter público así como retrasado el cumplimiento de las metas institucionales de la Entidad.</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En igual sentido, en cuanto al criterio de intencionalidad del infractor, este Colegiado considera que en tanto, la conducta llevada a cabo por parte de los integrantes del Consorcio consistente en la resolución del contrato, no permite a este Colegiado determinar la existencia de intencionalidad de su parte en la medida que no se ha evidenciado la consecución de un fin ulterior; no obstante lo cual, si resulta clara una falta de diligencia por parte de dichos contratista en el cumplimiento de sus obligaciones contractuales.</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lang w:val="es-MX"/>
        </w:rPr>
      </w:pPr>
      <w:r w:rsidRPr="004F4E97">
        <w:rPr>
          <w:rFonts w:ascii="Tahoma" w:hAnsi="Tahoma" w:cs="Tahoma"/>
        </w:rPr>
        <w:t xml:space="preserve">De esta manera, en lo que atañe al daño causado, es relevante tomar en cuenta, por un lado, la cuantía que subyace el </w:t>
      </w:r>
      <w:r w:rsidRPr="004F4E97">
        <w:rPr>
          <w:rFonts w:ascii="Tahoma" w:hAnsi="Tahoma" w:cs="Tahoma"/>
          <w:lang w:val="es-MX"/>
        </w:rPr>
        <w:t>Contrato de Adquisición de Bienes № 49-2009-MDI</w:t>
      </w:r>
      <w:r w:rsidRPr="004F4E97">
        <w:rPr>
          <w:rFonts w:ascii="Tahoma" w:hAnsi="Tahoma" w:cs="Tahoma"/>
        </w:rPr>
        <w:t>, por el monto de S/. 1 449 350.00 y, por el otro, que el incumplimiento por parte de los integrantes del Consorcio generó un daño a la Entidad, causando el retraso en el cumplimiento de sus objetivos, el cual había sido programado y presupuestado con anticipación.</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Sin perjuicio de lo anterior, respecto de las condiciones de los infractores y de su conducta procesal durante la sustanciación del presente procedimiento administrativo sancionador, abona a favor de éstos la ausencia de antecedentes en la comisión de infracciones, y en contra que durante la sustanciación del presente procedimiento administrativo sancionador los infractores no han efectuado la presentación de sus descargos.</w:t>
      </w:r>
    </w:p>
    <w:p w:rsidR="004F4E97" w:rsidRPr="004F4E97" w:rsidRDefault="004F4E97" w:rsidP="004F4E97">
      <w:pPr>
        <w:pStyle w:val="Prrafodelista"/>
        <w:rPr>
          <w:rFonts w:ascii="Tahoma" w:hAnsi="Tahoma" w:cs="Tahoma"/>
        </w:rPr>
      </w:pPr>
    </w:p>
    <w:p w:rsidR="004F4E97" w:rsidRPr="004F4E97" w:rsidRDefault="004F4E97" w:rsidP="004F4E97">
      <w:pPr>
        <w:pStyle w:val="Prrafodelista"/>
        <w:numPr>
          <w:ilvl w:val="0"/>
          <w:numId w:val="4"/>
        </w:numPr>
        <w:ind w:left="567" w:hanging="567"/>
        <w:jc w:val="both"/>
        <w:rPr>
          <w:rFonts w:ascii="Tahoma" w:hAnsi="Tahoma" w:cs="Tahoma"/>
        </w:rPr>
      </w:pPr>
      <w:r w:rsidRPr="004F4E97">
        <w:rPr>
          <w:rFonts w:ascii="Tahoma" w:hAnsi="Tahoma" w:cs="Tahoma"/>
        </w:rPr>
        <w:t xml:space="preserve">Finalmente, resulta importante traer a colación el </w:t>
      </w:r>
      <w:r w:rsidRPr="004F4E97">
        <w:rPr>
          <w:rFonts w:ascii="Tahoma" w:hAnsi="Tahoma" w:cs="Tahoma"/>
          <w:i/>
        </w:rPr>
        <w:t>principio de razonabilidad</w:t>
      </w:r>
      <w:r w:rsidRPr="004F4E97">
        <w:rPr>
          <w:rFonts w:ascii="Tahoma" w:hAnsi="Tahoma" w:cs="Tahoma"/>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1776B6" w:rsidRPr="004F4E97" w:rsidRDefault="001776B6" w:rsidP="001776B6">
      <w:pPr>
        <w:pStyle w:val="Prrafodelista"/>
        <w:jc w:val="both"/>
        <w:rPr>
          <w:rFonts w:ascii="Tahoma" w:hAnsi="Tahoma" w:cs="Tahoma"/>
        </w:rPr>
      </w:pPr>
    </w:p>
    <w:p w:rsidR="00DA127C" w:rsidRPr="004F4E97" w:rsidRDefault="00DA127C" w:rsidP="00DA127C">
      <w:pPr>
        <w:ind w:left="567" w:firstLine="567"/>
        <w:jc w:val="both"/>
        <w:rPr>
          <w:rFonts w:ascii="Tahoma" w:hAnsi="Tahoma" w:cs="Tahoma"/>
          <w:sz w:val="20"/>
          <w:szCs w:val="20"/>
        </w:rPr>
      </w:pPr>
      <w:r w:rsidRPr="004F4E97">
        <w:rPr>
          <w:rFonts w:ascii="Tahoma" w:hAnsi="Tahoma" w:cs="Tahoma"/>
          <w:color w:val="000000"/>
          <w:sz w:val="20"/>
          <w:szCs w:val="20"/>
        </w:rPr>
        <w:t xml:space="preserve">Por estos fundamentos, de conformidad con el informe del Vocal Ponente </w:t>
      </w:r>
      <w:r w:rsidRPr="004F4E97">
        <w:rPr>
          <w:rFonts w:ascii="Tahoma" w:hAnsi="Tahoma" w:cs="Tahoma"/>
          <w:sz w:val="20"/>
          <w:szCs w:val="20"/>
        </w:rPr>
        <w:t>Doctor Carlos Vicente Navas Rondón</w:t>
      </w:r>
      <w:r w:rsidRPr="004F4E97">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w:t>
      </w:r>
      <w:r w:rsidRPr="004F4E97">
        <w:rPr>
          <w:rFonts w:ascii="Tahoma" w:hAnsi="Tahoma" w:cs="Tahoma"/>
          <w:color w:val="000000"/>
          <w:sz w:val="20"/>
          <w:szCs w:val="20"/>
        </w:rPr>
        <w:lastRenderedPageBreak/>
        <w:t>aprobado por Decreto Supremo № 006-2009-EF; analizados los antecedentes y luego de agotado el debate correspondiente, por unanimidad;</w:t>
      </w:r>
    </w:p>
    <w:p w:rsidR="00E13E6B" w:rsidRPr="004F4E97" w:rsidRDefault="00E13E6B" w:rsidP="00E13E6B">
      <w:pPr>
        <w:jc w:val="both"/>
        <w:rPr>
          <w:rFonts w:ascii="Tahoma" w:hAnsi="Tahoma" w:cs="Tahoma"/>
          <w:sz w:val="20"/>
          <w:szCs w:val="20"/>
        </w:rPr>
      </w:pPr>
    </w:p>
    <w:p w:rsidR="00DD1154" w:rsidRPr="004F4E97" w:rsidRDefault="00DD1154" w:rsidP="00E13E6B">
      <w:pPr>
        <w:jc w:val="both"/>
        <w:rPr>
          <w:rFonts w:ascii="Tahoma" w:hAnsi="Tahoma" w:cs="Tahoma"/>
          <w:sz w:val="20"/>
          <w:szCs w:val="20"/>
        </w:rPr>
      </w:pPr>
    </w:p>
    <w:p w:rsidR="00E13E6B" w:rsidRPr="004F4E97" w:rsidRDefault="00E13E6B" w:rsidP="00E13E6B">
      <w:pPr>
        <w:ind w:firstLine="567"/>
        <w:jc w:val="both"/>
        <w:rPr>
          <w:rFonts w:ascii="Tahoma" w:hAnsi="Tahoma" w:cs="Tahoma"/>
          <w:b/>
          <w:sz w:val="20"/>
          <w:szCs w:val="20"/>
        </w:rPr>
      </w:pPr>
      <w:r w:rsidRPr="004F4E97">
        <w:rPr>
          <w:rFonts w:ascii="Tahoma" w:hAnsi="Tahoma" w:cs="Tahoma"/>
          <w:b/>
          <w:sz w:val="20"/>
          <w:szCs w:val="20"/>
        </w:rPr>
        <w:t xml:space="preserve">LA SALA RESUELVE: </w:t>
      </w:r>
    </w:p>
    <w:p w:rsidR="00E13E6B" w:rsidRPr="004F4E97" w:rsidRDefault="00E13E6B" w:rsidP="00E13E6B">
      <w:pPr>
        <w:ind w:left="400"/>
        <w:jc w:val="both"/>
        <w:rPr>
          <w:rFonts w:ascii="Tahoma" w:hAnsi="Tahoma" w:cs="Tahoma"/>
          <w:snapToGrid w:val="0"/>
          <w:sz w:val="20"/>
          <w:szCs w:val="20"/>
        </w:rPr>
      </w:pPr>
    </w:p>
    <w:p w:rsidR="004F4E97" w:rsidRPr="004F4E97" w:rsidRDefault="004F4E97" w:rsidP="004F4E97">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4F4E97">
        <w:rPr>
          <w:rFonts w:ascii="Tahoma" w:hAnsi="Tahoma" w:cs="Tahoma"/>
          <w:sz w:val="20"/>
          <w:szCs w:val="20"/>
        </w:rPr>
        <w:t>Imponer a la empresa Z.C.INGENIEROS CONSULTORES S.R.L. sanción administrativa de inhabilitación temporal por el período de catorce (14) meses en sus derechos de participar en procesos de selección y contratar con el Estado, por su responsabilidad en la resolución Contrato de Adquisición de Bienes № 49-2009-MDI de fecha 21 de diciembre de 2009, derivado de la Licitación Pública № 006-2009-CE/MDI, infracción tipificada en el literal b) del numeral 51.1 del artículo 51 de la Ley, la cual entrará en vigencia a partir del sexto día hábil siguiente de su notificación.</w:t>
      </w:r>
    </w:p>
    <w:p w:rsidR="004F4E97" w:rsidRPr="004F4E97" w:rsidRDefault="004F4E97" w:rsidP="004F4E97">
      <w:pPr>
        <w:pStyle w:val="Textoindependiente2"/>
        <w:spacing w:after="0" w:line="240" w:lineRule="auto"/>
        <w:ind w:left="540"/>
        <w:jc w:val="both"/>
        <w:rPr>
          <w:rFonts w:ascii="Tahoma" w:hAnsi="Tahoma" w:cs="Tahoma"/>
          <w:sz w:val="20"/>
          <w:szCs w:val="20"/>
        </w:rPr>
      </w:pPr>
    </w:p>
    <w:p w:rsidR="004F4E97" w:rsidRPr="004F4E97" w:rsidRDefault="004F4E97" w:rsidP="004F4E97">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4F4E97">
        <w:rPr>
          <w:rFonts w:ascii="Tahoma" w:hAnsi="Tahoma" w:cs="Tahoma"/>
          <w:sz w:val="20"/>
          <w:szCs w:val="20"/>
        </w:rPr>
        <w:t>Imponer al señor HERMEN MARCELO GUTIERREZ GUTIERREZ sanción administrativa de inhabilitación temporal por el período de catorce (14) meses en sus derechos de participar en procesos de selección y contratar con el Estado, por su responsabilidad en la resolución Contrato de Adquisición de Bienes № 49-2009-MDI de fecha 21 de diciembre de 2009, derivado de la Licitación Pública № 006-2009-CE/MDI, infracción tipificada en el literal b) del numeral 51.1 del artículo 51 de la Ley, la cual entrará en vigencia a partir del sexto día hábil siguiente de su publicación.</w:t>
      </w:r>
    </w:p>
    <w:p w:rsidR="004F4E97" w:rsidRPr="004F4E97" w:rsidRDefault="004F4E97" w:rsidP="004F4E97">
      <w:pPr>
        <w:pStyle w:val="Prrafodelista"/>
        <w:rPr>
          <w:rFonts w:ascii="Tahoma" w:hAnsi="Tahoma" w:cs="Tahoma"/>
        </w:rPr>
      </w:pPr>
    </w:p>
    <w:p w:rsidR="004F4E97" w:rsidRPr="004F4E97" w:rsidRDefault="004F4E97" w:rsidP="004F4E97">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4F4E97">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E13E6B" w:rsidRPr="004F4E97" w:rsidRDefault="00E13E6B" w:rsidP="00E13E6B">
      <w:pPr>
        <w:pStyle w:val="Prrafodelista"/>
        <w:jc w:val="both"/>
        <w:rPr>
          <w:rFonts w:ascii="Tahoma" w:hAnsi="Tahoma" w:cs="Tahoma"/>
        </w:rPr>
      </w:pPr>
    </w:p>
    <w:p w:rsidR="00E13E6B" w:rsidRPr="004F4E97" w:rsidRDefault="00E13E6B" w:rsidP="00E13E6B">
      <w:pPr>
        <w:pStyle w:val="Textoindependiente21"/>
        <w:ind w:firstLine="360"/>
        <w:rPr>
          <w:rFonts w:cs="Tahoma"/>
          <w:sz w:val="20"/>
        </w:rPr>
      </w:pPr>
      <w:r w:rsidRPr="004F4E97">
        <w:rPr>
          <w:rFonts w:cs="Tahoma"/>
          <w:sz w:val="20"/>
        </w:rPr>
        <w:t>Regístrese, comuníquese y publíquese.</w:t>
      </w:r>
    </w:p>
    <w:p w:rsidR="00E13E6B" w:rsidRPr="004F4E97" w:rsidRDefault="00E13E6B" w:rsidP="00E13E6B">
      <w:pPr>
        <w:jc w:val="both"/>
        <w:rPr>
          <w:rFonts w:ascii="Tahoma" w:hAnsi="Tahoma" w:cs="Tahoma"/>
          <w:b/>
          <w:bCs/>
          <w:shadow/>
          <w:sz w:val="20"/>
          <w:szCs w:val="20"/>
        </w:rPr>
      </w:pPr>
    </w:p>
    <w:p w:rsidR="00A52C81" w:rsidRPr="004F4E97" w:rsidRDefault="00A52C81" w:rsidP="00E13E6B">
      <w:pPr>
        <w:jc w:val="both"/>
        <w:rPr>
          <w:rFonts w:ascii="Tahoma" w:hAnsi="Tahoma" w:cs="Tahoma"/>
          <w:b/>
          <w:bCs/>
          <w:shadow/>
          <w:sz w:val="20"/>
          <w:szCs w:val="20"/>
        </w:rPr>
      </w:pPr>
    </w:p>
    <w:p w:rsidR="006E5BF8" w:rsidRPr="004F4E97" w:rsidRDefault="006E5BF8" w:rsidP="00E13E6B">
      <w:pPr>
        <w:jc w:val="both"/>
        <w:rPr>
          <w:rFonts w:ascii="Tahoma" w:hAnsi="Tahoma" w:cs="Tahoma"/>
          <w:b/>
          <w:bCs/>
          <w:shadow/>
          <w:sz w:val="20"/>
          <w:szCs w:val="20"/>
        </w:rPr>
      </w:pPr>
    </w:p>
    <w:p w:rsidR="00DA127C" w:rsidRPr="004F4E97" w:rsidRDefault="00DA127C" w:rsidP="00E13E6B">
      <w:pPr>
        <w:jc w:val="both"/>
        <w:rPr>
          <w:rFonts w:ascii="Tahoma" w:hAnsi="Tahoma" w:cs="Tahoma"/>
          <w:b/>
          <w:bCs/>
          <w:shadow/>
          <w:sz w:val="20"/>
          <w:szCs w:val="20"/>
        </w:rPr>
      </w:pPr>
    </w:p>
    <w:p w:rsidR="00DA127C" w:rsidRPr="004F4E97" w:rsidRDefault="00DA127C" w:rsidP="00E13E6B">
      <w:pPr>
        <w:jc w:val="both"/>
        <w:rPr>
          <w:rFonts w:ascii="Tahoma" w:hAnsi="Tahoma" w:cs="Tahoma"/>
          <w:b/>
          <w:bCs/>
          <w:shadow/>
          <w:sz w:val="20"/>
          <w:szCs w:val="20"/>
        </w:rPr>
      </w:pPr>
    </w:p>
    <w:p w:rsidR="00DA127C" w:rsidRPr="004F4E97" w:rsidRDefault="00DA127C" w:rsidP="00E13E6B">
      <w:pPr>
        <w:jc w:val="both"/>
        <w:rPr>
          <w:rFonts w:ascii="Tahoma" w:hAnsi="Tahoma" w:cs="Tahoma"/>
          <w:b/>
          <w:bCs/>
          <w:shadow/>
          <w:sz w:val="20"/>
          <w:szCs w:val="20"/>
        </w:rPr>
      </w:pPr>
    </w:p>
    <w:p w:rsidR="00E13E6B" w:rsidRPr="004F4E97" w:rsidRDefault="00E13E6B" w:rsidP="00295C50">
      <w:pPr>
        <w:jc w:val="center"/>
        <w:rPr>
          <w:rFonts w:ascii="Tahoma" w:hAnsi="Tahoma" w:cs="Tahoma"/>
          <w:b/>
          <w:bCs/>
          <w:shadow/>
          <w:sz w:val="20"/>
          <w:szCs w:val="20"/>
        </w:rPr>
      </w:pPr>
      <w:r w:rsidRPr="004F4E97">
        <w:rPr>
          <w:rFonts w:ascii="Tahoma" w:hAnsi="Tahoma" w:cs="Tahoma"/>
          <w:b/>
          <w:bCs/>
          <w:shadow/>
          <w:sz w:val="20"/>
          <w:szCs w:val="20"/>
        </w:rPr>
        <w:t>PRESIDENTE</w:t>
      </w:r>
    </w:p>
    <w:p w:rsidR="00E13E6B" w:rsidRPr="004F4E97" w:rsidRDefault="00E13E6B" w:rsidP="00C5251B">
      <w:pPr>
        <w:jc w:val="center"/>
        <w:rPr>
          <w:rFonts w:ascii="Tahoma" w:hAnsi="Tahoma" w:cs="Tahoma"/>
          <w:b/>
          <w:bCs/>
          <w:shadow/>
          <w:sz w:val="20"/>
          <w:szCs w:val="20"/>
        </w:rPr>
      </w:pPr>
    </w:p>
    <w:p w:rsidR="00E13E6B" w:rsidRPr="004F4E97" w:rsidRDefault="00E13E6B" w:rsidP="00C5251B">
      <w:pPr>
        <w:jc w:val="center"/>
        <w:rPr>
          <w:rFonts w:ascii="Tahoma" w:hAnsi="Tahoma" w:cs="Tahoma"/>
          <w:b/>
          <w:bCs/>
          <w:shadow/>
          <w:sz w:val="20"/>
          <w:szCs w:val="20"/>
        </w:rPr>
      </w:pPr>
    </w:p>
    <w:p w:rsidR="00DA127C" w:rsidRPr="004F4E97" w:rsidRDefault="00DA127C" w:rsidP="00C5251B">
      <w:pPr>
        <w:jc w:val="center"/>
        <w:rPr>
          <w:rFonts w:ascii="Tahoma" w:hAnsi="Tahoma" w:cs="Tahoma"/>
          <w:b/>
          <w:bCs/>
          <w:shadow/>
          <w:sz w:val="20"/>
          <w:szCs w:val="20"/>
        </w:rPr>
      </w:pPr>
    </w:p>
    <w:p w:rsidR="00DA127C" w:rsidRPr="004F4E97" w:rsidRDefault="00DA127C" w:rsidP="00C5251B">
      <w:pPr>
        <w:jc w:val="center"/>
        <w:rPr>
          <w:rFonts w:ascii="Tahoma" w:hAnsi="Tahoma" w:cs="Tahoma"/>
          <w:b/>
          <w:bCs/>
          <w:shadow/>
          <w:sz w:val="20"/>
          <w:szCs w:val="20"/>
        </w:rPr>
      </w:pPr>
    </w:p>
    <w:p w:rsidR="00E13E6B" w:rsidRPr="004F4E97" w:rsidRDefault="00E13E6B" w:rsidP="00C5251B">
      <w:pPr>
        <w:jc w:val="center"/>
        <w:rPr>
          <w:rFonts w:ascii="Tahoma" w:hAnsi="Tahoma" w:cs="Tahoma"/>
          <w:b/>
          <w:bCs/>
          <w:shadow/>
          <w:sz w:val="20"/>
          <w:szCs w:val="20"/>
        </w:rPr>
      </w:pPr>
    </w:p>
    <w:p w:rsidR="00E13E6B" w:rsidRPr="004F4E97" w:rsidRDefault="00E13E6B" w:rsidP="00C5251B">
      <w:pPr>
        <w:jc w:val="center"/>
        <w:rPr>
          <w:rFonts w:ascii="Tahoma" w:hAnsi="Tahoma" w:cs="Tahoma"/>
          <w:b/>
          <w:shadow/>
          <w:sz w:val="20"/>
          <w:szCs w:val="20"/>
        </w:rPr>
      </w:pPr>
      <w:r w:rsidRPr="004F4E97">
        <w:rPr>
          <w:rFonts w:ascii="Tahoma" w:hAnsi="Tahoma" w:cs="Tahoma"/>
          <w:b/>
          <w:shadow/>
          <w:sz w:val="20"/>
          <w:szCs w:val="20"/>
        </w:rPr>
        <w:t xml:space="preserve">VOCAL           </w:t>
      </w:r>
      <w:r w:rsidRPr="004F4E97">
        <w:rPr>
          <w:rFonts w:ascii="Tahoma" w:hAnsi="Tahoma" w:cs="Tahoma"/>
          <w:b/>
          <w:shadow/>
          <w:sz w:val="20"/>
          <w:szCs w:val="20"/>
        </w:rPr>
        <w:tab/>
      </w:r>
      <w:r w:rsidRPr="004F4E97">
        <w:rPr>
          <w:rFonts w:ascii="Tahoma" w:hAnsi="Tahoma" w:cs="Tahoma"/>
          <w:b/>
          <w:shadow/>
          <w:sz w:val="20"/>
          <w:szCs w:val="20"/>
        </w:rPr>
        <w:tab/>
        <w:t xml:space="preserve">                                                                VOCAL</w:t>
      </w:r>
    </w:p>
    <w:p w:rsidR="00635F2E" w:rsidRPr="004F4E97" w:rsidRDefault="00635F2E" w:rsidP="00E13E6B">
      <w:pPr>
        <w:jc w:val="both"/>
        <w:rPr>
          <w:rFonts w:ascii="Tahoma" w:hAnsi="Tahoma" w:cs="Tahoma"/>
          <w:sz w:val="20"/>
          <w:szCs w:val="20"/>
        </w:rPr>
      </w:pPr>
    </w:p>
    <w:p w:rsidR="00635F2E" w:rsidRPr="004F4E97" w:rsidRDefault="00635F2E" w:rsidP="00E13E6B">
      <w:pPr>
        <w:jc w:val="both"/>
        <w:rPr>
          <w:rFonts w:ascii="Tahoma" w:hAnsi="Tahoma" w:cs="Tahoma"/>
          <w:sz w:val="20"/>
          <w:szCs w:val="20"/>
        </w:rPr>
      </w:pPr>
    </w:p>
    <w:p w:rsidR="00635F2E" w:rsidRPr="004F4E97" w:rsidRDefault="00635F2E" w:rsidP="00E13E6B">
      <w:pPr>
        <w:jc w:val="both"/>
        <w:rPr>
          <w:rFonts w:ascii="Tahoma" w:hAnsi="Tahoma" w:cs="Tahoma"/>
          <w:sz w:val="20"/>
          <w:szCs w:val="20"/>
        </w:rPr>
      </w:pPr>
    </w:p>
    <w:p w:rsidR="00E13E6B" w:rsidRPr="004F4E97" w:rsidRDefault="00E13E6B" w:rsidP="00E13E6B">
      <w:pPr>
        <w:jc w:val="both"/>
        <w:rPr>
          <w:rFonts w:ascii="Tahoma" w:hAnsi="Tahoma" w:cs="Tahoma"/>
          <w:sz w:val="20"/>
          <w:szCs w:val="20"/>
        </w:rPr>
      </w:pPr>
      <w:r w:rsidRPr="004F4E97">
        <w:rPr>
          <w:rFonts w:ascii="Tahoma" w:hAnsi="Tahoma" w:cs="Tahoma"/>
          <w:sz w:val="20"/>
          <w:szCs w:val="20"/>
        </w:rPr>
        <w:t>ss.</w:t>
      </w:r>
    </w:p>
    <w:p w:rsidR="00351F6F" w:rsidRPr="004F4E97" w:rsidRDefault="00351F6F" w:rsidP="00351F6F">
      <w:pPr>
        <w:jc w:val="both"/>
        <w:rPr>
          <w:rFonts w:ascii="Tahoma" w:hAnsi="Tahoma" w:cs="Tahoma"/>
          <w:sz w:val="20"/>
          <w:szCs w:val="20"/>
        </w:rPr>
      </w:pPr>
      <w:r w:rsidRPr="004F4E97">
        <w:rPr>
          <w:rFonts w:ascii="Tahoma" w:hAnsi="Tahoma" w:cs="Tahoma"/>
          <w:sz w:val="20"/>
          <w:szCs w:val="20"/>
        </w:rPr>
        <w:t>Navas Rondón</w:t>
      </w:r>
    </w:p>
    <w:p w:rsidR="00351F6F" w:rsidRPr="004F4E97" w:rsidRDefault="00351F6F" w:rsidP="00351F6F">
      <w:pPr>
        <w:jc w:val="both"/>
        <w:rPr>
          <w:rFonts w:ascii="Tahoma" w:hAnsi="Tahoma" w:cs="Tahoma"/>
          <w:color w:val="000000"/>
          <w:sz w:val="20"/>
          <w:szCs w:val="20"/>
        </w:rPr>
      </w:pPr>
      <w:r w:rsidRPr="004F4E97">
        <w:rPr>
          <w:rFonts w:ascii="Tahoma" w:hAnsi="Tahoma" w:cs="Tahoma"/>
          <w:color w:val="000000"/>
          <w:sz w:val="20"/>
          <w:szCs w:val="20"/>
        </w:rPr>
        <w:t xml:space="preserve">Ramírez Maynetto </w:t>
      </w:r>
    </w:p>
    <w:p w:rsidR="00351F6F" w:rsidRPr="004F4E97" w:rsidRDefault="00351F6F" w:rsidP="00351F6F">
      <w:pPr>
        <w:jc w:val="both"/>
        <w:rPr>
          <w:rFonts w:ascii="Tahoma" w:hAnsi="Tahoma" w:cs="Tahoma"/>
          <w:sz w:val="20"/>
          <w:szCs w:val="20"/>
        </w:rPr>
      </w:pPr>
      <w:r w:rsidRPr="004F4E97">
        <w:rPr>
          <w:rFonts w:ascii="Tahoma" w:hAnsi="Tahoma" w:cs="Tahoma"/>
          <w:sz w:val="20"/>
          <w:szCs w:val="20"/>
        </w:rPr>
        <w:t>Basulto Liewald.</w:t>
      </w:r>
    </w:p>
    <w:sectPr w:rsidR="00351F6F" w:rsidRPr="004F4E97"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199" w:rsidRDefault="00761199" w:rsidP="00E13E6B">
      <w:r>
        <w:separator/>
      </w:r>
    </w:p>
  </w:endnote>
  <w:endnote w:type="continuationSeparator" w:id="1">
    <w:p w:rsidR="00761199" w:rsidRDefault="00761199"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086065"/>
      <w:docPartObj>
        <w:docPartGallery w:val="Page Numbers (Bottom of Page)"/>
        <w:docPartUnique/>
      </w:docPartObj>
    </w:sdtPr>
    <w:sdtEndPr>
      <w:rPr>
        <w:sz w:val="20"/>
        <w:szCs w:val="20"/>
      </w:rPr>
    </w:sdtEndPr>
    <w:sdtContent>
      <w:sdt>
        <w:sdtPr>
          <w:rPr>
            <w:sz w:val="20"/>
            <w:szCs w:val="20"/>
          </w:rPr>
          <w:id w:val="216747587"/>
          <w:docPartObj>
            <w:docPartGallery w:val="Page Numbers (Top of Page)"/>
            <w:docPartUnique/>
          </w:docPartObj>
        </w:sdtPr>
        <w:sdtContent>
          <w:p w:rsidR="004F4E97" w:rsidRPr="004F4E97" w:rsidRDefault="004F4E97">
            <w:pPr>
              <w:pStyle w:val="Piedepgina"/>
              <w:jc w:val="right"/>
              <w:rPr>
                <w:sz w:val="20"/>
                <w:szCs w:val="20"/>
              </w:rPr>
            </w:pPr>
            <w:r w:rsidRPr="004F4E97">
              <w:rPr>
                <w:sz w:val="20"/>
                <w:szCs w:val="20"/>
              </w:rPr>
              <w:t xml:space="preserve">Página </w:t>
            </w:r>
            <w:r w:rsidR="007D309C" w:rsidRPr="004F4E97">
              <w:rPr>
                <w:b/>
                <w:sz w:val="20"/>
                <w:szCs w:val="20"/>
              </w:rPr>
              <w:fldChar w:fldCharType="begin"/>
            </w:r>
            <w:r w:rsidRPr="004F4E97">
              <w:rPr>
                <w:b/>
                <w:sz w:val="20"/>
                <w:szCs w:val="20"/>
              </w:rPr>
              <w:instrText>PAGE</w:instrText>
            </w:r>
            <w:r w:rsidR="007D309C" w:rsidRPr="004F4E97">
              <w:rPr>
                <w:b/>
                <w:sz w:val="20"/>
                <w:szCs w:val="20"/>
              </w:rPr>
              <w:fldChar w:fldCharType="separate"/>
            </w:r>
            <w:r w:rsidR="00603D83">
              <w:rPr>
                <w:b/>
                <w:noProof/>
                <w:sz w:val="20"/>
                <w:szCs w:val="20"/>
              </w:rPr>
              <w:t>1</w:t>
            </w:r>
            <w:r w:rsidR="007D309C" w:rsidRPr="004F4E97">
              <w:rPr>
                <w:b/>
                <w:sz w:val="20"/>
                <w:szCs w:val="20"/>
              </w:rPr>
              <w:fldChar w:fldCharType="end"/>
            </w:r>
            <w:r w:rsidRPr="004F4E97">
              <w:rPr>
                <w:sz w:val="20"/>
                <w:szCs w:val="20"/>
              </w:rPr>
              <w:t xml:space="preserve"> de </w:t>
            </w:r>
            <w:r w:rsidR="007D309C" w:rsidRPr="004F4E97">
              <w:rPr>
                <w:b/>
                <w:sz w:val="20"/>
                <w:szCs w:val="20"/>
              </w:rPr>
              <w:fldChar w:fldCharType="begin"/>
            </w:r>
            <w:r w:rsidRPr="004F4E97">
              <w:rPr>
                <w:b/>
                <w:sz w:val="20"/>
                <w:szCs w:val="20"/>
              </w:rPr>
              <w:instrText>NUMPAGES</w:instrText>
            </w:r>
            <w:r w:rsidR="007D309C" w:rsidRPr="004F4E97">
              <w:rPr>
                <w:b/>
                <w:sz w:val="20"/>
                <w:szCs w:val="20"/>
              </w:rPr>
              <w:fldChar w:fldCharType="separate"/>
            </w:r>
            <w:r w:rsidR="00603D83">
              <w:rPr>
                <w:b/>
                <w:noProof/>
                <w:sz w:val="20"/>
                <w:szCs w:val="20"/>
              </w:rPr>
              <w:t>9</w:t>
            </w:r>
            <w:r w:rsidR="007D309C" w:rsidRPr="004F4E97">
              <w:rPr>
                <w:b/>
                <w:sz w:val="20"/>
                <w:szCs w:val="20"/>
              </w:rPr>
              <w:fldChar w:fldCharType="end"/>
            </w:r>
          </w:p>
        </w:sdtContent>
      </w:sdt>
    </w:sdtContent>
  </w:sdt>
  <w:p w:rsidR="00E066F0" w:rsidRPr="00223795" w:rsidRDefault="00761199"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199" w:rsidRDefault="00761199" w:rsidP="00E13E6B">
      <w:r>
        <w:separator/>
      </w:r>
    </w:p>
  </w:footnote>
  <w:footnote w:type="continuationSeparator" w:id="1">
    <w:p w:rsidR="00761199" w:rsidRDefault="00761199" w:rsidP="00E13E6B">
      <w:r>
        <w:continuationSeparator/>
      </w:r>
    </w:p>
  </w:footnote>
  <w:footnote w:id="2">
    <w:p w:rsidR="004F4E97" w:rsidRPr="004F4E97" w:rsidRDefault="004F4E97" w:rsidP="004F4E97">
      <w:pPr>
        <w:pStyle w:val="Textonotapie"/>
        <w:jc w:val="both"/>
        <w:rPr>
          <w:sz w:val="13"/>
          <w:szCs w:val="13"/>
        </w:rPr>
      </w:pPr>
      <w:r w:rsidRPr="004F4E97">
        <w:rPr>
          <w:rStyle w:val="Refdenotaalpie"/>
          <w:sz w:val="13"/>
          <w:szCs w:val="13"/>
        </w:rPr>
        <w:footnoteRef/>
      </w:r>
      <w:r w:rsidRPr="004F4E97">
        <w:rPr>
          <w:sz w:val="13"/>
          <w:szCs w:val="13"/>
        </w:rPr>
        <w:t xml:space="preserve"> La secretaria del Tribunal dio cuenta que luego de efectuar la búsqueda de otro domicilio cierto del supuesto infractor por número de Registro Único de Contribuyente (RUC) en la página electrónica de OSCE  y la Superintendencia Nacional de Administración Tributaria (SUNAT), revisado los antecedentes administrativos remitidos por la Entidad, así como agotadas todas las gestiones tendientes a conocer otro domicilio del señor Hermen Marcelo Gutierrez Gutierrez (integrante del Consorcio), no se ha podido ubicar otro domicilio cierto y real del mismo, y a fin de que el mencionado señor tome conocimiento del decreto de fecha 09 de diciembre de 2010, y asegurarle el legítimo ejercicio del derecho de defensa que le asiste al administrado, se considera que corresponde notificar el mencionado decreto vía publicación en el Boletín Oficial del Diario Oficial el Peruano. </w:t>
      </w:r>
    </w:p>
  </w:footnote>
  <w:footnote w:id="3">
    <w:p w:rsidR="004F4E97" w:rsidRPr="004F4E97" w:rsidRDefault="004F4E97" w:rsidP="004F4E97">
      <w:pPr>
        <w:pStyle w:val="Textonotapie"/>
        <w:jc w:val="both"/>
        <w:rPr>
          <w:sz w:val="13"/>
          <w:szCs w:val="13"/>
        </w:rPr>
      </w:pPr>
      <w:r w:rsidRPr="004F4E97">
        <w:rPr>
          <w:rStyle w:val="Refdenotaalpie"/>
          <w:sz w:val="13"/>
          <w:szCs w:val="13"/>
        </w:rPr>
        <w:footnoteRef/>
      </w:r>
      <w:r w:rsidRPr="004F4E97">
        <w:rPr>
          <w:sz w:val="13"/>
          <w:szCs w:val="13"/>
        </w:rPr>
        <w:t xml:space="preserve"> </w:t>
      </w:r>
      <w:r w:rsidRPr="004F4E97">
        <w:rPr>
          <w:b/>
          <w:sz w:val="13"/>
          <w:szCs w:val="13"/>
        </w:rPr>
        <w:t>Artículo 51.- Infracciones y sanciones administrativas</w:t>
      </w:r>
    </w:p>
    <w:p w:rsidR="004F4E97" w:rsidRPr="004F4E97" w:rsidRDefault="004F4E97" w:rsidP="004F4E97">
      <w:pPr>
        <w:pStyle w:val="Textonotapie"/>
        <w:jc w:val="both"/>
        <w:rPr>
          <w:sz w:val="13"/>
          <w:szCs w:val="13"/>
        </w:rPr>
      </w:pPr>
      <w:r w:rsidRPr="004F4E97">
        <w:rPr>
          <w:sz w:val="13"/>
          <w:szCs w:val="13"/>
        </w:rPr>
        <w:t>51.1 Infracciones</w:t>
      </w:r>
    </w:p>
    <w:p w:rsidR="004F4E97" w:rsidRPr="004F4E97" w:rsidRDefault="004F4E97" w:rsidP="004F4E97">
      <w:pPr>
        <w:pStyle w:val="Textonotapie"/>
        <w:jc w:val="both"/>
        <w:rPr>
          <w:sz w:val="13"/>
          <w:szCs w:val="13"/>
        </w:rPr>
      </w:pPr>
      <w:r w:rsidRPr="004F4E97">
        <w:rPr>
          <w:sz w:val="13"/>
          <w:szCs w:val="13"/>
        </w:rPr>
        <w:t>Se impondrá sanción administrativa a los proveedores, participantes, postores y/o contratistas que:</w:t>
      </w:r>
    </w:p>
    <w:p w:rsidR="004F4E97" w:rsidRPr="004F4E97" w:rsidRDefault="004F4E97" w:rsidP="004F4E97">
      <w:pPr>
        <w:pStyle w:val="Textonotapie"/>
        <w:jc w:val="both"/>
        <w:rPr>
          <w:sz w:val="13"/>
          <w:szCs w:val="13"/>
        </w:rPr>
      </w:pPr>
      <w:r w:rsidRPr="004F4E97">
        <w:rPr>
          <w:sz w:val="13"/>
          <w:szCs w:val="13"/>
        </w:rPr>
        <w:t>(…)</w:t>
      </w:r>
    </w:p>
    <w:p w:rsidR="004F4E97" w:rsidRPr="004F4E97" w:rsidRDefault="004F4E97" w:rsidP="004F4E97">
      <w:pPr>
        <w:pStyle w:val="Textonotapie"/>
        <w:jc w:val="both"/>
        <w:rPr>
          <w:sz w:val="13"/>
          <w:szCs w:val="13"/>
        </w:rPr>
      </w:pPr>
      <w:r w:rsidRPr="004F4E97">
        <w:rPr>
          <w:sz w:val="13"/>
          <w:szCs w:val="13"/>
        </w:rPr>
        <w:t>b) Den lugar a la resolución del contrato, orden de compra o de servicios por causal atribuible a su  parte;</w:t>
      </w:r>
    </w:p>
  </w:footnote>
  <w:footnote w:id="4">
    <w:p w:rsidR="004F4E97" w:rsidRPr="004F4E97" w:rsidRDefault="004F4E97" w:rsidP="004F4E97">
      <w:pPr>
        <w:pStyle w:val="Textonotapie"/>
        <w:jc w:val="both"/>
        <w:rPr>
          <w:sz w:val="13"/>
          <w:szCs w:val="13"/>
        </w:rPr>
      </w:pPr>
      <w:r w:rsidRPr="004F4E97">
        <w:rPr>
          <w:rStyle w:val="Refdenotaalpie"/>
          <w:sz w:val="13"/>
          <w:szCs w:val="13"/>
        </w:rPr>
        <w:footnoteRef/>
      </w:r>
      <w:r w:rsidRPr="004F4E97">
        <w:rPr>
          <w:sz w:val="13"/>
          <w:szCs w:val="13"/>
        </w:rPr>
        <w:t xml:space="preserve"> </w:t>
      </w:r>
      <w:r w:rsidRPr="004F4E97">
        <w:rPr>
          <w:b/>
          <w:bCs/>
          <w:sz w:val="13"/>
          <w:szCs w:val="13"/>
        </w:rPr>
        <w:t>Artículo 237.- Causales de aplicación de sanción a los proveedores, participantes, postores y contratistas</w:t>
      </w:r>
    </w:p>
    <w:p w:rsidR="004F4E97" w:rsidRPr="004F4E97" w:rsidRDefault="004F4E97" w:rsidP="004F4E97">
      <w:pPr>
        <w:pStyle w:val="Textonotapie"/>
        <w:jc w:val="both"/>
        <w:rPr>
          <w:sz w:val="13"/>
          <w:szCs w:val="13"/>
        </w:rPr>
      </w:pPr>
      <w:r w:rsidRPr="004F4E97">
        <w:rPr>
          <w:sz w:val="13"/>
          <w:szCs w:val="13"/>
        </w:rPr>
        <w:t>El Tribunal impondrá la sanción administrativa de inhabilitación temporal o definitiva a los proveedores, participantes, postores y/o contratistas que:</w:t>
      </w:r>
    </w:p>
    <w:p w:rsidR="004F4E97" w:rsidRPr="004F4E97" w:rsidRDefault="004F4E97" w:rsidP="004F4E97">
      <w:pPr>
        <w:pStyle w:val="Textonotapie"/>
        <w:jc w:val="both"/>
        <w:rPr>
          <w:sz w:val="13"/>
          <w:szCs w:val="13"/>
        </w:rPr>
      </w:pPr>
      <w:r w:rsidRPr="004F4E97">
        <w:rPr>
          <w:sz w:val="13"/>
          <w:szCs w:val="13"/>
        </w:rPr>
        <w:t>(…)</w:t>
      </w:r>
    </w:p>
    <w:p w:rsidR="004F4E97" w:rsidRPr="00237395" w:rsidRDefault="004F4E97" w:rsidP="004F4E97">
      <w:pPr>
        <w:pStyle w:val="Textonotapie"/>
        <w:jc w:val="both"/>
        <w:rPr>
          <w:sz w:val="18"/>
          <w:szCs w:val="18"/>
        </w:rPr>
      </w:pPr>
      <w:r w:rsidRPr="004F4E97">
        <w:rPr>
          <w:sz w:val="13"/>
          <w:szCs w:val="13"/>
        </w:rPr>
        <w:t>2) Den lugar a la resolución del contrato, orden de compra o de servicios por causal atribuible a su parte.</w:t>
      </w:r>
    </w:p>
  </w:footnote>
  <w:footnote w:id="5">
    <w:p w:rsidR="004F4E97" w:rsidRPr="00CD30A1" w:rsidRDefault="004F4E97" w:rsidP="004F4E97">
      <w:pPr>
        <w:pStyle w:val="Textonotapie"/>
        <w:jc w:val="both"/>
        <w:rPr>
          <w:rFonts w:cs="Tahoma"/>
          <w:sz w:val="18"/>
          <w:szCs w:val="18"/>
        </w:rPr>
      </w:pPr>
      <w:r w:rsidRPr="00C12921">
        <w:rPr>
          <w:rStyle w:val="Refdenotaalpie"/>
          <w:rFonts w:cs="Tahoma"/>
          <w:sz w:val="16"/>
          <w:szCs w:val="16"/>
        </w:rPr>
        <w:footnoteRef/>
      </w:r>
      <w:r w:rsidRPr="00C12921">
        <w:rPr>
          <w:rFonts w:cs="Tahoma"/>
          <w:sz w:val="16"/>
          <w:szCs w:val="16"/>
        </w:rPr>
        <w:t xml:space="preserve"> Acuerdo dictado en el marco de los entonces vigentes Texto Único Ordenado de la Ley de Contrataciones y Adquisiciones del Estado, aprobado por Decreto Supremo № 012-2001-PCM, y su Reglamento, aprobado por Decreto Supremo № 013-2001-PCM, pero que resulta igualmente aplicable al caso de autos por referirse a la misma materia.</w:t>
      </w:r>
    </w:p>
  </w:footnote>
  <w:footnote w:id="6">
    <w:p w:rsidR="004F4E97" w:rsidRPr="0069745D" w:rsidRDefault="004F4E97" w:rsidP="004F4E97">
      <w:pPr>
        <w:pStyle w:val="Textonotapie"/>
        <w:tabs>
          <w:tab w:val="left" w:pos="284"/>
        </w:tabs>
        <w:ind w:left="284" w:hanging="284"/>
        <w:jc w:val="both"/>
        <w:rPr>
          <w:b/>
          <w:bCs/>
          <w:color w:val="000000"/>
          <w:sz w:val="16"/>
          <w:szCs w:val="16"/>
        </w:rPr>
      </w:pPr>
      <w:r w:rsidRPr="0069745D">
        <w:rPr>
          <w:rStyle w:val="Refdenotaalpie"/>
          <w:rFonts w:cs="Tahoma"/>
          <w:sz w:val="16"/>
          <w:szCs w:val="16"/>
        </w:rPr>
        <w:footnoteRef/>
      </w:r>
      <w:r w:rsidRPr="0069745D">
        <w:rPr>
          <w:rFonts w:cs="Tahoma"/>
          <w:sz w:val="16"/>
          <w:szCs w:val="16"/>
        </w:rPr>
        <w:t xml:space="preserve"> </w:t>
      </w:r>
      <w:r w:rsidRPr="0069745D">
        <w:rPr>
          <w:b/>
          <w:bCs/>
          <w:color w:val="000000"/>
          <w:sz w:val="16"/>
          <w:szCs w:val="16"/>
        </w:rPr>
        <w:t>Artículo 170.- Efectos de la resolución.-</w:t>
      </w:r>
    </w:p>
    <w:p w:rsidR="004F4E97" w:rsidRPr="0069745D" w:rsidRDefault="004F4E97" w:rsidP="004F4E97">
      <w:pPr>
        <w:pStyle w:val="Textonotapie"/>
        <w:tabs>
          <w:tab w:val="left" w:pos="284"/>
        </w:tabs>
        <w:ind w:left="284" w:hanging="60"/>
        <w:jc w:val="both"/>
        <w:rPr>
          <w:bCs/>
          <w:color w:val="000000"/>
          <w:sz w:val="16"/>
          <w:szCs w:val="16"/>
        </w:rPr>
      </w:pPr>
      <w:r w:rsidRPr="0069745D">
        <w:rPr>
          <w:bCs/>
          <w:color w:val="000000"/>
          <w:sz w:val="16"/>
          <w:szCs w:val="16"/>
        </w:rPr>
        <w:t>(…)</w:t>
      </w:r>
    </w:p>
    <w:p w:rsidR="004F4E97" w:rsidRPr="0069745D" w:rsidRDefault="004F4E97" w:rsidP="004F4E97">
      <w:pPr>
        <w:pStyle w:val="Textonotapie"/>
        <w:ind w:left="284"/>
        <w:jc w:val="both"/>
        <w:rPr>
          <w:color w:val="000000"/>
          <w:sz w:val="16"/>
          <w:szCs w:val="16"/>
        </w:rPr>
      </w:pPr>
      <w:r w:rsidRPr="0069745D">
        <w:rPr>
          <w:color w:val="000000"/>
          <w:sz w:val="16"/>
          <w:szCs w:val="16"/>
        </w:rPr>
        <w:t xml:space="preserve">Cualquier controversia relacionada con la resolución del contrato podrá ser sometida por la parte interesada a conciliación y/o arbitraje dentro de los </w:t>
      </w:r>
      <w:r w:rsidRPr="0069745D">
        <w:rPr>
          <w:b/>
          <w:color w:val="000000"/>
          <w:sz w:val="16"/>
          <w:szCs w:val="16"/>
          <w:u w:val="single"/>
        </w:rPr>
        <w:t>quince (15) días hábiles</w:t>
      </w:r>
      <w:r w:rsidRPr="0069745D">
        <w:rPr>
          <w:color w:val="000000"/>
          <w:sz w:val="16"/>
          <w:szCs w:val="16"/>
        </w:rPr>
        <w:t xml:space="preserve"> siguientes de comunicada la resolución. Vencido este plazo sin que se haya iniciado ninguno de estos procedimientos, se entenderá que la resolución del contrato ha quedado consentida. </w:t>
      </w:r>
    </w:p>
    <w:p w:rsidR="004F4E97" w:rsidRPr="00D1498F" w:rsidRDefault="004F4E97" w:rsidP="004F4E97">
      <w:pPr>
        <w:pStyle w:val="Textonotapie"/>
        <w:rPr>
          <w:rFonts w:cs="Tahoma"/>
        </w:rPr>
      </w:pPr>
    </w:p>
  </w:footnote>
  <w:footnote w:id="7">
    <w:p w:rsidR="004F4E97" w:rsidRPr="008A535F" w:rsidRDefault="004F4E97" w:rsidP="004F4E97">
      <w:pPr>
        <w:pStyle w:val="Textonotapie"/>
        <w:ind w:left="142" w:hanging="142"/>
        <w:rPr>
          <w:rFonts w:cs="Tahoma"/>
          <w:sz w:val="16"/>
          <w:szCs w:val="16"/>
        </w:rPr>
      </w:pPr>
      <w:r w:rsidRPr="008A535F">
        <w:rPr>
          <w:rStyle w:val="Refdenotaalpie"/>
          <w:rFonts w:cs="Tahoma"/>
          <w:i/>
          <w:sz w:val="16"/>
          <w:szCs w:val="16"/>
        </w:rPr>
        <w:footnoteRef/>
      </w:r>
      <w:r w:rsidRPr="008A535F">
        <w:rPr>
          <w:rFonts w:cs="Tahoma"/>
          <w:i/>
          <w:sz w:val="16"/>
          <w:szCs w:val="16"/>
        </w:rPr>
        <w:t xml:space="preserve"> </w:t>
      </w:r>
      <w:r w:rsidRPr="008A535F">
        <w:rPr>
          <w:rFonts w:cs="Tahoma"/>
          <w:b/>
          <w:sz w:val="16"/>
          <w:szCs w:val="16"/>
        </w:rPr>
        <w:t>Artículo 1329.-</w:t>
      </w:r>
      <w:r w:rsidRPr="008A535F">
        <w:rPr>
          <w:rFonts w:cs="Tahoma"/>
          <w:sz w:val="16"/>
          <w:szCs w:val="16"/>
        </w:rPr>
        <w:t xml:space="preserve"> Se presume que la inejecución de la obligación o su cumplimiento parcial, tardío o defectuoso obedece a culpa leve del deudor.</w:t>
      </w:r>
    </w:p>
    <w:p w:rsidR="004F4E97" w:rsidRPr="008A535F" w:rsidRDefault="004F4E97" w:rsidP="004F4E97">
      <w:pPr>
        <w:pStyle w:val="Textonotapie"/>
        <w:ind w:left="142" w:hanging="142"/>
        <w:rPr>
          <w:rFonts w:cs="Tahoma"/>
          <w:sz w:val="16"/>
          <w:szCs w:val="16"/>
        </w:rPr>
      </w:pPr>
    </w:p>
  </w:footnote>
  <w:footnote w:id="8">
    <w:p w:rsidR="004F4E97" w:rsidRPr="00DB2292" w:rsidRDefault="004F4E97" w:rsidP="004F4E97">
      <w:pPr>
        <w:pStyle w:val="Textonotapie"/>
        <w:rPr>
          <w:b/>
          <w:sz w:val="16"/>
          <w:szCs w:val="16"/>
        </w:rPr>
      </w:pPr>
      <w:r w:rsidRPr="00DB2292">
        <w:rPr>
          <w:rStyle w:val="Refdenotaalpie"/>
          <w:rFonts w:cs="Tahoma"/>
          <w:sz w:val="16"/>
          <w:szCs w:val="16"/>
        </w:rPr>
        <w:footnoteRef/>
      </w:r>
      <w:r w:rsidRPr="00DB2292">
        <w:rPr>
          <w:rFonts w:cs="Tahoma"/>
          <w:sz w:val="16"/>
          <w:szCs w:val="16"/>
        </w:rPr>
        <w:t xml:space="preserve"> </w:t>
      </w:r>
      <w:r w:rsidRPr="00DB2292">
        <w:rPr>
          <w:b/>
          <w:sz w:val="16"/>
          <w:szCs w:val="16"/>
        </w:rPr>
        <w:t>Artículo 245.- Determinación gradual de la sanción.-</w:t>
      </w:r>
    </w:p>
    <w:p w:rsidR="004F4E97" w:rsidRPr="00DB2292" w:rsidRDefault="004F4E97" w:rsidP="004F4E97">
      <w:pPr>
        <w:pStyle w:val="Textonotapie"/>
        <w:rPr>
          <w:sz w:val="16"/>
          <w:szCs w:val="16"/>
        </w:rPr>
      </w:pPr>
      <w:r w:rsidRPr="00DB2292">
        <w:rPr>
          <w:sz w:val="16"/>
          <w:szCs w:val="16"/>
        </w:rPr>
        <w:t xml:space="preserve"> Para graduar la sanción de inhabilitación temporal a imponerse conforme a las disposiciones del presente Titulo, el Tribunal considerará los siguientes criterios: </w:t>
      </w:r>
    </w:p>
    <w:p w:rsidR="004F4E97" w:rsidRPr="00DB2292" w:rsidRDefault="004F4E97" w:rsidP="004F4E97">
      <w:pPr>
        <w:pStyle w:val="Textonotapie"/>
        <w:numPr>
          <w:ilvl w:val="0"/>
          <w:numId w:val="14"/>
        </w:numPr>
        <w:rPr>
          <w:sz w:val="16"/>
          <w:szCs w:val="16"/>
        </w:rPr>
      </w:pPr>
      <w:r w:rsidRPr="00DB2292">
        <w:rPr>
          <w:sz w:val="16"/>
          <w:szCs w:val="16"/>
        </w:rPr>
        <w:t>Naturaleza de la infracción.</w:t>
      </w:r>
    </w:p>
    <w:p w:rsidR="004F4E97" w:rsidRPr="00DB2292" w:rsidRDefault="004F4E97" w:rsidP="004F4E97">
      <w:pPr>
        <w:pStyle w:val="Textonotapie"/>
        <w:numPr>
          <w:ilvl w:val="0"/>
          <w:numId w:val="14"/>
        </w:numPr>
        <w:rPr>
          <w:sz w:val="16"/>
          <w:szCs w:val="16"/>
        </w:rPr>
      </w:pPr>
      <w:r w:rsidRPr="00DB2292">
        <w:rPr>
          <w:sz w:val="16"/>
          <w:szCs w:val="16"/>
        </w:rPr>
        <w:t>Intencionalidad del infractor.</w:t>
      </w:r>
    </w:p>
    <w:p w:rsidR="004F4E97" w:rsidRPr="00DB2292" w:rsidRDefault="004F4E97" w:rsidP="004F4E97">
      <w:pPr>
        <w:pStyle w:val="Textonotapie"/>
        <w:numPr>
          <w:ilvl w:val="0"/>
          <w:numId w:val="14"/>
        </w:numPr>
        <w:rPr>
          <w:b/>
          <w:sz w:val="16"/>
          <w:szCs w:val="16"/>
        </w:rPr>
      </w:pPr>
      <w:r w:rsidRPr="00DB2292">
        <w:rPr>
          <w:sz w:val="16"/>
          <w:szCs w:val="16"/>
        </w:rPr>
        <w:t>Daño causado.</w:t>
      </w:r>
    </w:p>
    <w:p w:rsidR="004F4E97" w:rsidRPr="00DB2292" w:rsidRDefault="004F4E97" w:rsidP="004F4E97">
      <w:pPr>
        <w:pStyle w:val="Textonotapie"/>
        <w:numPr>
          <w:ilvl w:val="0"/>
          <w:numId w:val="14"/>
        </w:numPr>
        <w:rPr>
          <w:b/>
          <w:sz w:val="16"/>
          <w:szCs w:val="16"/>
        </w:rPr>
      </w:pPr>
      <w:r w:rsidRPr="00DB2292">
        <w:rPr>
          <w:sz w:val="16"/>
          <w:szCs w:val="16"/>
        </w:rPr>
        <w:t>Reiterancia.</w:t>
      </w:r>
    </w:p>
    <w:p w:rsidR="004F4E97" w:rsidRPr="00DB2292" w:rsidRDefault="004F4E97" w:rsidP="004F4E97">
      <w:pPr>
        <w:pStyle w:val="Textonotapie"/>
        <w:numPr>
          <w:ilvl w:val="0"/>
          <w:numId w:val="14"/>
        </w:numPr>
        <w:rPr>
          <w:b/>
          <w:sz w:val="16"/>
          <w:szCs w:val="16"/>
        </w:rPr>
      </w:pPr>
      <w:r w:rsidRPr="00DB2292">
        <w:rPr>
          <w:sz w:val="16"/>
          <w:szCs w:val="16"/>
        </w:rPr>
        <w:t>El reconocimiento de la infracción antes de que sea detectada.</w:t>
      </w:r>
    </w:p>
    <w:p w:rsidR="004F4E97" w:rsidRPr="00DB2292" w:rsidRDefault="004F4E97" w:rsidP="004F4E97">
      <w:pPr>
        <w:pStyle w:val="Textonotapie"/>
        <w:numPr>
          <w:ilvl w:val="0"/>
          <w:numId w:val="14"/>
        </w:numPr>
        <w:rPr>
          <w:b/>
          <w:sz w:val="16"/>
          <w:szCs w:val="16"/>
        </w:rPr>
      </w:pPr>
      <w:r w:rsidRPr="00DB2292">
        <w:rPr>
          <w:sz w:val="16"/>
          <w:szCs w:val="16"/>
        </w:rPr>
        <w:t>Circunstancias de tiempo, lugar y modo.</w:t>
      </w:r>
    </w:p>
    <w:p w:rsidR="004F4E97" w:rsidRPr="00DB2292" w:rsidRDefault="004F4E97" w:rsidP="004F4E97">
      <w:pPr>
        <w:pStyle w:val="Textonotapie"/>
        <w:numPr>
          <w:ilvl w:val="0"/>
          <w:numId w:val="14"/>
        </w:numPr>
        <w:rPr>
          <w:b/>
          <w:sz w:val="16"/>
          <w:szCs w:val="16"/>
        </w:rPr>
      </w:pPr>
      <w:r w:rsidRPr="00DB2292">
        <w:rPr>
          <w:sz w:val="16"/>
          <w:szCs w:val="16"/>
        </w:rPr>
        <w:t>Condiciones del Infractor.</w:t>
      </w:r>
    </w:p>
    <w:p w:rsidR="004F4E97" w:rsidRPr="00DB2292" w:rsidRDefault="004F4E97" w:rsidP="004F4E97">
      <w:pPr>
        <w:pStyle w:val="Textonotapie"/>
        <w:numPr>
          <w:ilvl w:val="0"/>
          <w:numId w:val="14"/>
        </w:numPr>
        <w:rPr>
          <w:b/>
          <w:sz w:val="16"/>
          <w:szCs w:val="16"/>
        </w:rPr>
      </w:pPr>
      <w:r w:rsidRPr="00DB2292">
        <w:rPr>
          <w:sz w:val="16"/>
          <w:szCs w:val="16"/>
        </w:rPr>
        <w:t>Conducta procesal del infractor.</w:t>
      </w:r>
    </w:p>
    <w:p w:rsidR="004F4E97" w:rsidRPr="00616C93" w:rsidRDefault="004F4E97" w:rsidP="004F4E97">
      <w:pPr>
        <w:pStyle w:val="Textonotapie"/>
        <w:ind w:left="120"/>
        <w:rPr>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D83" w:rsidRDefault="00603D83" w:rsidP="00603D83">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603D83" w:rsidRDefault="00603D83" w:rsidP="00603D83">
    <w:pPr>
      <w:pStyle w:val="Encabezado"/>
      <w:rPr>
        <w:noProof/>
      </w:rPr>
    </w:pPr>
  </w:p>
  <w:p w:rsidR="00603D83" w:rsidRDefault="00603D83" w:rsidP="00603D83">
    <w:pPr>
      <w:pStyle w:val="Encabezado"/>
      <w:jc w:val="center"/>
      <w:rPr>
        <w:rFonts w:ascii="Monotype Corsiva" w:hAnsi="Monotype Corsiva"/>
        <w:b/>
        <w:sz w:val="44"/>
        <w:szCs w:val="44"/>
      </w:rPr>
    </w:pPr>
  </w:p>
  <w:p w:rsidR="00603D83" w:rsidRDefault="00603D83" w:rsidP="00603D83">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1291-2011-TC-S1</w:t>
    </w:r>
  </w:p>
  <w:p w:rsidR="00603D83" w:rsidRDefault="00603D8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1210F6D"/>
    <w:multiLevelType w:val="hybridMultilevel"/>
    <w:tmpl w:val="1576C102"/>
    <w:lvl w:ilvl="0" w:tplc="14206E02">
      <w:start w:val="9"/>
      <w:numFmt w:val="decimal"/>
      <w:lvlText w:val="%1."/>
      <w:lvlJc w:val="left"/>
      <w:pPr>
        <w:tabs>
          <w:tab w:val="num" w:pos="1680"/>
        </w:tabs>
        <w:ind w:left="1680" w:hanging="360"/>
      </w:pPr>
      <w:rPr>
        <w:rFonts w:ascii="Tahoma" w:hAnsi="Tahoma" w:hint="default"/>
        <w:b/>
        <w:i w:val="0"/>
        <w:color w:val="auto"/>
        <w:sz w:val="20"/>
        <w:szCs w:val="20"/>
        <w:u w:val="none"/>
      </w:rPr>
    </w:lvl>
    <w:lvl w:ilvl="1" w:tplc="280A0019" w:tentative="1">
      <w:start w:val="1"/>
      <w:numFmt w:val="lowerLetter"/>
      <w:lvlText w:val="%2."/>
      <w:lvlJc w:val="left"/>
      <w:pPr>
        <w:tabs>
          <w:tab w:val="num" w:pos="1440"/>
        </w:tabs>
        <w:ind w:left="1440" w:hanging="360"/>
      </w:pPr>
    </w:lvl>
    <w:lvl w:ilvl="2" w:tplc="280A001B" w:tentative="1">
      <w:start w:val="1"/>
      <w:numFmt w:val="lowerRoman"/>
      <w:lvlText w:val="%3."/>
      <w:lvlJc w:val="right"/>
      <w:pPr>
        <w:tabs>
          <w:tab w:val="num" w:pos="2160"/>
        </w:tabs>
        <w:ind w:left="2160" w:hanging="180"/>
      </w:pPr>
    </w:lvl>
    <w:lvl w:ilvl="3" w:tplc="280A000F" w:tentative="1">
      <w:start w:val="1"/>
      <w:numFmt w:val="decimal"/>
      <w:lvlText w:val="%4."/>
      <w:lvlJc w:val="left"/>
      <w:pPr>
        <w:tabs>
          <w:tab w:val="num" w:pos="2880"/>
        </w:tabs>
        <w:ind w:left="2880" w:hanging="360"/>
      </w:pPr>
    </w:lvl>
    <w:lvl w:ilvl="4" w:tplc="280A0019" w:tentative="1">
      <w:start w:val="1"/>
      <w:numFmt w:val="lowerLetter"/>
      <w:lvlText w:val="%5."/>
      <w:lvlJc w:val="left"/>
      <w:pPr>
        <w:tabs>
          <w:tab w:val="num" w:pos="3600"/>
        </w:tabs>
        <w:ind w:left="3600" w:hanging="360"/>
      </w:pPr>
    </w:lvl>
    <w:lvl w:ilvl="5" w:tplc="280A001B" w:tentative="1">
      <w:start w:val="1"/>
      <w:numFmt w:val="lowerRoman"/>
      <w:lvlText w:val="%6."/>
      <w:lvlJc w:val="right"/>
      <w:pPr>
        <w:tabs>
          <w:tab w:val="num" w:pos="4320"/>
        </w:tabs>
        <w:ind w:left="4320" w:hanging="180"/>
      </w:pPr>
    </w:lvl>
    <w:lvl w:ilvl="6" w:tplc="280A000F" w:tentative="1">
      <w:start w:val="1"/>
      <w:numFmt w:val="decimal"/>
      <w:lvlText w:val="%7."/>
      <w:lvlJc w:val="left"/>
      <w:pPr>
        <w:tabs>
          <w:tab w:val="num" w:pos="5040"/>
        </w:tabs>
        <w:ind w:left="5040" w:hanging="360"/>
      </w:pPr>
    </w:lvl>
    <w:lvl w:ilvl="7" w:tplc="280A0019" w:tentative="1">
      <w:start w:val="1"/>
      <w:numFmt w:val="lowerLetter"/>
      <w:lvlText w:val="%8."/>
      <w:lvlJc w:val="left"/>
      <w:pPr>
        <w:tabs>
          <w:tab w:val="num" w:pos="5760"/>
        </w:tabs>
        <w:ind w:left="5760" w:hanging="360"/>
      </w:pPr>
    </w:lvl>
    <w:lvl w:ilvl="8" w:tplc="280A001B" w:tentative="1">
      <w:start w:val="1"/>
      <w:numFmt w:val="lowerRoman"/>
      <w:lvlText w:val="%9."/>
      <w:lvlJc w:val="right"/>
      <w:pPr>
        <w:tabs>
          <w:tab w:val="num" w:pos="6480"/>
        </w:tabs>
        <w:ind w:left="6480" w:hanging="180"/>
      </w:pPr>
    </w:lvl>
  </w:abstractNum>
  <w:abstractNum w:abstractNumId="2">
    <w:nsid w:val="03FA3E39"/>
    <w:multiLevelType w:val="hybridMultilevel"/>
    <w:tmpl w:val="63AC2896"/>
    <w:lvl w:ilvl="0" w:tplc="666C9DE2">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0D89661A"/>
    <w:multiLevelType w:val="hybridMultilevel"/>
    <w:tmpl w:val="63F06F2C"/>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65109CF8">
      <w:start w:val="1"/>
      <w:numFmt w:val="lowerRoman"/>
      <w:lvlText w:val="(%3)"/>
      <w:lvlJc w:val="left"/>
      <w:pPr>
        <w:tabs>
          <w:tab w:val="num" w:pos="2700"/>
        </w:tabs>
        <w:ind w:left="2700" w:hanging="720"/>
      </w:pPr>
      <w:rPr>
        <w:rFonts w:hint="default"/>
        <w:b/>
        <w:sz w:val="20"/>
        <w:szCs w:val="20"/>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nsid w:val="1FD61B9D"/>
    <w:multiLevelType w:val="hybridMultilevel"/>
    <w:tmpl w:val="0540BA38"/>
    <w:lvl w:ilvl="0" w:tplc="0C0A0015">
      <w:start w:val="1"/>
      <w:numFmt w:val="upperLetter"/>
      <w:lvlText w:val="%1."/>
      <w:lvlJc w:val="left"/>
      <w:pPr>
        <w:ind w:left="720" w:hanging="360"/>
      </w:pPr>
    </w:lvl>
    <w:lvl w:ilvl="1" w:tplc="9C085FFC">
      <w:start w:val="1"/>
      <w:numFmt w:val="decimal"/>
      <w:lvlText w:val="%2."/>
      <w:lvlJc w:val="left"/>
      <w:pPr>
        <w:tabs>
          <w:tab w:val="num" w:pos="1440"/>
        </w:tabs>
        <w:ind w:left="144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0">
    <w:nsid w:val="2D7C2DCC"/>
    <w:multiLevelType w:val="multilevel"/>
    <w:tmpl w:val="1B2A9BA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3">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6">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7">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9">
    <w:nsid w:val="45A74DF4"/>
    <w:multiLevelType w:val="hybridMultilevel"/>
    <w:tmpl w:val="C2DE4A56"/>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nsid w:val="54D656E9"/>
    <w:multiLevelType w:val="hybridMultilevel"/>
    <w:tmpl w:val="DA708F52"/>
    <w:lvl w:ilvl="0" w:tplc="A5705B54">
      <w:start w:val="1"/>
      <w:numFmt w:val="lowerRoman"/>
      <w:lvlText w:val="(%1)"/>
      <w:lvlJc w:val="left"/>
      <w:pPr>
        <w:tabs>
          <w:tab w:val="num" w:pos="360"/>
        </w:tabs>
        <w:ind w:left="360" w:hanging="360"/>
      </w:pPr>
      <w:rPr>
        <w:rFonts w:hint="default"/>
        <w:b/>
      </w:rPr>
    </w:lvl>
    <w:lvl w:ilvl="1" w:tplc="AB5692E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3">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6">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nsid w:val="742A4401"/>
    <w:multiLevelType w:val="hybridMultilevel"/>
    <w:tmpl w:val="E33E7602"/>
    <w:lvl w:ilvl="0" w:tplc="BFBE62CE">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8">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9">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0">
    <w:nsid w:val="7FD864EF"/>
    <w:multiLevelType w:val="hybridMultilevel"/>
    <w:tmpl w:val="022A51C2"/>
    <w:lvl w:ilvl="0" w:tplc="4E0EE90C">
      <w:start w:val="2"/>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4"/>
  </w:num>
  <w:num w:numId="4">
    <w:abstractNumId w:val="2"/>
  </w:num>
  <w:num w:numId="5">
    <w:abstractNumId w:val="29"/>
  </w:num>
  <w:num w:numId="6">
    <w:abstractNumId w:val="25"/>
  </w:num>
  <w:num w:numId="7">
    <w:abstractNumId w:val="23"/>
  </w:num>
  <w:num w:numId="8">
    <w:abstractNumId w:val="28"/>
  </w:num>
  <w:num w:numId="9">
    <w:abstractNumId w:val="21"/>
  </w:num>
  <w:num w:numId="10">
    <w:abstractNumId w:val="17"/>
  </w:num>
  <w:num w:numId="11">
    <w:abstractNumId w:val="5"/>
  </w:num>
  <w:num w:numId="12">
    <w:abstractNumId w:val="13"/>
  </w:num>
  <w:num w:numId="13">
    <w:abstractNumId w:val="3"/>
  </w:num>
  <w:num w:numId="14">
    <w:abstractNumId w:val="15"/>
  </w:num>
  <w:num w:numId="15">
    <w:abstractNumId w:val="22"/>
  </w:num>
  <w:num w:numId="16">
    <w:abstractNumId w:val="12"/>
  </w:num>
  <w:num w:numId="17">
    <w:abstractNumId w:val="24"/>
  </w:num>
  <w:num w:numId="18">
    <w:abstractNumId w:val="11"/>
  </w:num>
  <w:num w:numId="19">
    <w:abstractNumId w:val="26"/>
  </w:num>
  <w:num w:numId="20">
    <w:abstractNumId w:val="16"/>
  </w:num>
  <w:num w:numId="21">
    <w:abstractNumId w:val="7"/>
  </w:num>
  <w:num w:numId="22">
    <w:abstractNumId w:val="18"/>
  </w:num>
  <w:num w:numId="23">
    <w:abstractNumId w:val="9"/>
  </w:num>
  <w:num w:numId="24">
    <w:abstractNumId w:val="4"/>
  </w:num>
  <w:num w:numId="25">
    <w:abstractNumId w:val="0"/>
  </w:num>
  <w:num w:numId="26">
    <w:abstractNumId w:val="27"/>
  </w:num>
  <w:num w:numId="27">
    <w:abstractNumId w:val="2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9"/>
  </w:num>
  <w:num w:numId="32">
    <w:abstractNumId w:val="10"/>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E13E6B"/>
    <w:rsid w:val="00000BF4"/>
    <w:rsid w:val="00016207"/>
    <w:rsid w:val="00027FB1"/>
    <w:rsid w:val="00036145"/>
    <w:rsid w:val="00041FBA"/>
    <w:rsid w:val="00050A76"/>
    <w:rsid w:val="0005582F"/>
    <w:rsid w:val="00076C20"/>
    <w:rsid w:val="00082DF1"/>
    <w:rsid w:val="000B0A8A"/>
    <w:rsid w:val="000B0CEB"/>
    <w:rsid w:val="000B6C24"/>
    <w:rsid w:val="000D61B8"/>
    <w:rsid w:val="000E3E0B"/>
    <w:rsid w:val="000E5424"/>
    <w:rsid w:val="001016D9"/>
    <w:rsid w:val="001337F7"/>
    <w:rsid w:val="00140241"/>
    <w:rsid w:val="00140DE4"/>
    <w:rsid w:val="00163673"/>
    <w:rsid w:val="00164CC7"/>
    <w:rsid w:val="001776B6"/>
    <w:rsid w:val="00187209"/>
    <w:rsid w:val="00187E2A"/>
    <w:rsid w:val="001C1FA6"/>
    <w:rsid w:val="001C5BD6"/>
    <w:rsid w:val="001D44C0"/>
    <w:rsid w:val="001E448B"/>
    <w:rsid w:val="001E71F0"/>
    <w:rsid w:val="001F5C44"/>
    <w:rsid w:val="00206094"/>
    <w:rsid w:val="00214D5E"/>
    <w:rsid w:val="00222218"/>
    <w:rsid w:val="0022267E"/>
    <w:rsid w:val="00231184"/>
    <w:rsid w:val="0023169C"/>
    <w:rsid w:val="00254249"/>
    <w:rsid w:val="002837D2"/>
    <w:rsid w:val="00295C50"/>
    <w:rsid w:val="00331E1A"/>
    <w:rsid w:val="003430DE"/>
    <w:rsid w:val="00351F6F"/>
    <w:rsid w:val="00360AFE"/>
    <w:rsid w:val="003B4F9C"/>
    <w:rsid w:val="004255A5"/>
    <w:rsid w:val="00440D71"/>
    <w:rsid w:val="00442AC8"/>
    <w:rsid w:val="004515EA"/>
    <w:rsid w:val="00455F96"/>
    <w:rsid w:val="00466DC8"/>
    <w:rsid w:val="00484F8C"/>
    <w:rsid w:val="004A2DC1"/>
    <w:rsid w:val="004B72CA"/>
    <w:rsid w:val="004C487F"/>
    <w:rsid w:val="004C5043"/>
    <w:rsid w:val="004E1A73"/>
    <w:rsid w:val="004F2CC5"/>
    <w:rsid w:val="004F4E97"/>
    <w:rsid w:val="00531D1E"/>
    <w:rsid w:val="005521E5"/>
    <w:rsid w:val="00567032"/>
    <w:rsid w:val="0057348B"/>
    <w:rsid w:val="00595709"/>
    <w:rsid w:val="005B0EEA"/>
    <w:rsid w:val="005B1E24"/>
    <w:rsid w:val="005E3E1C"/>
    <w:rsid w:val="005E6E6D"/>
    <w:rsid w:val="005F3C91"/>
    <w:rsid w:val="0060176F"/>
    <w:rsid w:val="00603D83"/>
    <w:rsid w:val="00606935"/>
    <w:rsid w:val="00635F2E"/>
    <w:rsid w:val="00642EE3"/>
    <w:rsid w:val="00645B41"/>
    <w:rsid w:val="0065269D"/>
    <w:rsid w:val="006550D3"/>
    <w:rsid w:val="006B6377"/>
    <w:rsid w:val="006C0A94"/>
    <w:rsid w:val="006C2E41"/>
    <w:rsid w:val="006C5B6A"/>
    <w:rsid w:val="006D0A8D"/>
    <w:rsid w:val="006D2E88"/>
    <w:rsid w:val="006E4E4E"/>
    <w:rsid w:val="006E5571"/>
    <w:rsid w:val="006E5BF8"/>
    <w:rsid w:val="006F0656"/>
    <w:rsid w:val="006F3B1E"/>
    <w:rsid w:val="0074555F"/>
    <w:rsid w:val="007570AE"/>
    <w:rsid w:val="00761199"/>
    <w:rsid w:val="00763CC8"/>
    <w:rsid w:val="00766749"/>
    <w:rsid w:val="007728C3"/>
    <w:rsid w:val="00797C9F"/>
    <w:rsid w:val="007A198C"/>
    <w:rsid w:val="007D309C"/>
    <w:rsid w:val="007D7DEB"/>
    <w:rsid w:val="007D7E70"/>
    <w:rsid w:val="007E4F29"/>
    <w:rsid w:val="007E6B15"/>
    <w:rsid w:val="008011A4"/>
    <w:rsid w:val="00822C2F"/>
    <w:rsid w:val="00826B5E"/>
    <w:rsid w:val="00835165"/>
    <w:rsid w:val="008422E3"/>
    <w:rsid w:val="008734E8"/>
    <w:rsid w:val="00903A92"/>
    <w:rsid w:val="009066F9"/>
    <w:rsid w:val="00920048"/>
    <w:rsid w:val="0092385F"/>
    <w:rsid w:val="0092699F"/>
    <w:rsid w:val="00932E06"/>
    <w:rsid w:val="00952222"/>
    <w:rsid w:val="00982D52"/>
    <w:rsid w:val="00992FEE"/>
    <w:rsid w:val="00993C05"/>
    <w:rsid w:val="009B3C77"/>
    <w:rsid w:val="009C2CF7"/>
    <w:rsid w:val="009E1F2A"/>
    <w:rsid w:val="009E3BC8"/>
    <w:rsid w:val="00A36836"/>
    <w:rsid w:val="00A52C81"/>
    <w:rsid w:val="00A9776E"/>
    <w:rsid w:val="00AA6BAC"/>
    <w:rsid w:val="00AA7525"/>
    <w:rsid w:val="00AB0F61"/>
    <w:rsid w:val="00AD4AB5"/>
    <w:rsid w:val="00AE41DD"/>
    <w:rsid w:val="00B05429"/>
    <w:rsid w:val="00B06760"/>
    <w:rsid w:val="00B1735A"/>
    <w:rsid w:val="00B25FCD"/>
    <w:rsid w:val="00B31BA1"/>
    <w:rsid w:val="00B71CFC"/>
    <w:rsid w:val="00BD122E"/>
    <w:rsid w:val="00BE51B2"/>
    <w:rsid w:val="00BE67EB"/>
    <w:rsid w:val="00C100CC"/>
    <w:rsid w:val="00C127C1"/>
    <w:rsid w:val="00C15ECB"/>
    <w:rsid w:val="00C5251B"/>
    <w:rsid w:val="00C8148D"/>
    <w:rsid w:val="00C866D0"/>
    <w:rsid w:val="00CB4799"/>
    <w:rsid w:val="00CC3859"/>
    <w:rsid w:val="00CC52A3"/>
    <w:rsid w:val="00D002B4"/>
    <w:rsid w:val="00D069FF"/>
    <w:rsid w:val="00D115F8"/>
    <w:rsid w:val="00D13BC9"/>
    <w:rsid w:val="00D43251"/>
    <w:rsid w:val="00D445DC"/>
    <w:rsid w:val="00D66D64"/>
    <w:rsid w:val="00DA127C"/>
    <w:rsid w:val="00DA2C25"/>
    <w:rsid w:val="00DB2F75"/>
    <w:rsid w:val="00DB756D"/>
    <w:rsid w:val="00DC3001"/>
    <w:rsid w:val="00DD1154"/>
    <w:rsid w:val="00DD589B"/>
    <w:rsid w:val="00E124B8"/>
    <w:rsid w:val="00E13E6B"/>
    <w:rsid w:val="00E1470E"/>
    <w:rsid w:val="00E633EF"/>
    <w:rsid w:val="00E77676"/>
    <w:rsid w:val="00E964AA"/>
    <w:rsid w:val="00EC4953"/>
    <w:rsid w:val="00EE4815"/>
    <w:rsid w:val="00EE7A6B"/>
    <w:rsid w:val="00F3647A"/>
    <w:rsid w:val="00F4438A"/>
    <w:rsid w:val="00F50510"/>
    <w:rsid w:val="00F66D53"/>
    <w:rsid w:val="00F77525"/>
    <w:rsid w:val="00F95796"/>
    <w:rsid w:val="00FE5BF4"/>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E13E6B"/>
    <w:pPr>
      <w:tabs>
        <w:tab w:val="center" w:pos="4252"/>
        <w:tab w:val="right" w:pos="8504"/>
      </w:tabs>
    </w:pPr>
  </w:style>
  <w:style w:type="character" w:customStyle="1" w:styleId="PiedepginaCar">
    <w:name w:val="Pie de página Car"/>
    <w:basedOn w:val="Fuentedeprrafopredeter"/>
    <w:link w:val="Piedepgina"/>
    <w:uiPriority w:val="99"/>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2 Car1 Car,Car2 Car Car Car Car Car,Car2 Car Car,Car2 Car Car Car Car Car Car, Car1, Car Car Car"/>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2 Car1 Car Car,Car2 Car Car Car Car Car Car1,Car2 Car Car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99"/>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customStyle="1" w:styleId="msonormalcxspmiddle">
    <w:name w:val="msonormalcxspmiddle"/>
    <w:basedOn w:val="Normal"/>
    <w:rsid w:val="005E6E6D"/>
    <w:pPr>
      <w:spacing w:before="100" w:beforeAutospacing="1" w:after="100" w:afterAutospacing="1"/>
    </w:pPr>
    <w:rPr>
      <w:rFonts w:eastAsia="Times New Roman"/>
    </w:rPr>
  </w:style>
  <w:style w:type="paragraph" w:customStyle="1" w:styleId="WW-Textosinformato">
    <w:name w:val="WW-Texto sin formato"/>
    <w:basedOn w:val="Normal"/>
    <w:rsid w:val="00076C20"/>
    <w:pPr>
      <w:suppressAutoHyphens/>
    </w:pPr>
    <w:rPr>
      <w:rFonts w:ascii="Courier New" w:eastAsia="MS Mincho" w:hAnsi="Courier New"/>
      <w:sz w:val="20"/>
      <w:szCs w:val="20"/>
      <w:lang w:val="es-PE"/>
    </w:rPr>
  </w:style>
  <w:style w:type="paragraph" w:styleId="Encabezado">
    <w:name w:val="header"/>
    <w:aliases w:val="maria,h"/>
    <w:basedOn w:val="Normal"/>
    <w:link w:val="EncabezadoCar"/>
    <w:uiPriority w:val="99"/>
    <w:semiHidden/>
    <w:unhideWhenUsed/>
    <w:rsid w:val="004F4E97"/>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4F4E97"/>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5186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9</Pages>
  <Words>3946</Words>
  <Characters>21708</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128</cp:revision>
  <cp:lastPrinted>2011-07-25T20:30:00Z</cp:lastPrinted>
  <dcterms:created xsi:type="dcterms:W3CDTF">2010-04-16T12:41:00Z</dcterms:created>
  <dcterms:modified xsi:type="dcterms:W3CDTF">2011-08-15T15:52:00Z</dcterms:modified>
</cp:coreProperties>
</file>